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5A" w:rsidRPr="008A3180" w:rsidRDefault="0082573E" w:rsidP="008A3180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6756/22.&#10;Subject Codes: CULT 20 SUSTDEV 47 DIGIT 42 SAN 122 EDUC 67 RECH 106 VISA 41 SOC 113 FISC 55 ENV 169 TRANS 115.&#10;Heading: POZNÁMKA.&#10;Originator: Generální sekretariát Rady.&#10;Recipient: Výbor stálých zástupců / Rada.&#10;Subject: Návrh závěrů Rady o posílení mezikulturních výměn prostřednictvím mobility umělců a pracovníků kulturního a kreativního odvětví  a prostřednictvím mnohojazyčnosti v digitální éře – schválení.&#10;Commission Document Number: Not Set.&#10;Preceeding Document Number: Not Set.&#10;Location: Brusel.&#10;Date: 18. března 2022.&#10;Interinstitutional Files: Not Set.&#10;Institutional Framework: Rada Evropské unie.&#10;Language: CS.&#10;Distribution Code: LIMITE.&#10;GUID: 4843882980303407739_0" style="width:568.5pt;height:438pt">
            <v:imagedata r:id="rId9" o:title=""/>
          </v:shape>
        </w:pict>
      </w:r>
      <w:bookmarkEnd w:id="0"/>
    </w:p>
    <w:p w:rsidR="00975B56" w:rsidRPr="00DD1265" w:rsidRDefault="00975B56" w:rsidP="00A62520">
      <w:pPr>
        <w:rPr>
          <w:rFonts w:asciiTheme="majorBidi" w:hAnsiTheme="majorBidi" w:cstheme="majorBidi"/>
          <w:szCs w:val="24"/>
        </w:rPr>
      </w:pPr>
      <w:r w:rsidRPr="00DD1265">
        <w:rPr>
          <w:rFonts w:asciiTheme="majorBidi" w:hAnsiTheme="majorBidi"/>
          <w:szCs w:val="24"/>
          <w:u w:val="single"/>
        </w:rPr>
        <w:t>Výbor pro kulturní otázky</w:t>
      </w:r>
      <w:r w:rsidRPr="00DD1265">
        <w:t xml:space="preserve"> posoudil výše uvedený návrh závěrů Rady</w:t>
      </w:r>
      <w:r w:rsidR="008A3180">
        <w:t xml:space="preserve"> na </w:t>
      </w:r>
      <w:r w:rsidRPr="00DD1265">
        <w:t>řadě formálních zasedání.</w:t>
      </w:r>
      <w:r w:rsidRPr="00DD1265">
        <w:rPr>
          <w:rFonts w:asciiTheme="majorBidi" w:hAnsiTheme="majorBidi"/>
          <w:szCs w:val="24"/>
        </w:rPr>
        <w:t xml:space="preserve"> Se zněním nyní souhlasí všechny delegace.</w:t>
      </w:r>
    </w:p>
    <w:p w:rsidR="00975B56" w:rsidRPr="00DD1265" w:rsidRDefault="00975B56" w:rsidP="008A3180">
      <w:pPr>
        <w:rPr>
          <w:rFonts w:eastAsia="Times New Roman"/>
          <w:szCs w:val="24"/>
        </w:rPr>
      </w:pPr>
      <w:r w:rsidRPr="00DD1265">
        <w:rPr>
          <w:u w:val="single"/>
        </w:rPr>
        <w:t>Výbor stálých zástupců</w:t>
      </w:r>
      <w:r w:rsidRPr="00DD1265">
        <w:t xml:space="preserve"> se vyzývá, aby dohodu Výboru pro kulturní otázky ohledně znění uvedeného</w:t>
      </w:r>
      <w:r w:rsidR="008A3180">
        <w:t xml:space="preserve"> v </w:t>
      </w:r>
      <w:r w:rsidRPr="00DD1265">
        <w:t>příloze potvrdil</w:t>
      </w:r>
      <w:r w:rsidR="008A3180">
        <w:t xml:space="preserve"> a </w:t>
      </w:r>
      <w:r w:rsidRPr="00DD1265">
        <w:t>předložil je Radě ke schválení</w:t>
      </w:r>
      <w:r w:rsidR="008A3180">
        <w:t xml:space="preserve"> a </w:t>
      </w:r>
      <w:r w:rsidRPr="00DD1265">
        <w:t>následnému zveřejnění</w:t>
      </w:r>
      <w:r w:rsidR="008A3180">
        <w:t xml:space="preserve"> v </w:t>
      </w:r>
      <w:r w:rsidRPr="00DD1265">
        <w:rPr>
          <w:i/>
          <w:iCs/>
        </w:rPr>
        <w:t>Úředním věstníku Evropské unie</w:t>
      </w:r>
      <w:r w:rsidRPr="00DD1265">
        <w:t>.</w:t>
      </w:r>
    </w:p>
    <w:p w:rsidR="00AB29BC" w:rsidRPr="00DD1265" w:rsidRDefault="00AB29BC" w:rsidP="00AB29BC">
      <w:pPr>
        <w:pStyle w:val="FinalLine"/>
      </w:pPr>
    </w:p>
    <w:p w:rsidR="00AB29BC" w:rsidRPr="00DD1265" w:rsidRDefault="00AB29BC" w:rsidP="00AB29BC">
      <w:pPr>
        <w:sectPr w:rsidR="00AB29BC" w:rsidRPr="00DD1265" w:rsidSect="008A318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/>
          <w:pgMar w:top="624" w:right="1134" w:bottom="1134" w:left="1134" w:header="567" w:footer="567" w:gutter="0"/>
          <w:pgNumType w:start="1"/>
          <w:cols w:space="720"/>
          <w:titlePg/>
          <w:docGrid w:linePitch="360"/>
        </w:sectPr>
      </w:pPr>
    </w:p>
    <w:p w:rsidR="00B7181F" w:rsidRPr="00F84981" w:rsidRDefault="00B7181F" w:rsidP="00B7181F">
      <w:pPr>
        <w:pStyle w:val="Annex"/>
      </w:pPr>
      <w:r w:rsidRPr="00F84981">
        <w:lastRenderedPageBreak/>
        <w:t>PŘÍLOHA</w:t>
      </w:r>
    </w:p>
    <w:p w:rsidR="00B7181F" w:rsidRPr="00F84981" w:rsidRDefault="00B7181F" w:rsidP="00B7181F">
      <w:pPr>
        <w:jc w:val="center"/>
        <w:rPr>
          <w:rFonts w:cstheme="minorBidi"/>
          <w:b/>
        </w:rPr>
      </w:pPr>
      <w:r w:rsidRPr="00F84981">
        <w:rPr>
          <w:b/>
        </w:rPr>
        <w:t>Posílení mezikulturních výměn prostřednictvím mobility umělců</w:t>
      </w:r>
      <w:r w:rsidR="008A3180">
        <w:rPr>
          <w:b/>
        </w:rPr>
        <w:t xml:space="preserve"> a </w:t>
      </w:r>
      <w:r w:rsidRPr="00F84981">
        <w:rPr>
          <w:b/>
        </w:rPr>
        <w:t>pracovníků kulturního</w:t>
      </w:r>
      <w:r w:rsidR="008A3180">
        <w:rPr>
          <w:b/>
        </w:rPr>
        <w:t xml:space="preserve"> a </w:t>
      </w:r>
      <w:r w:rsidRPr="00F84981">
        <w:rPr>
          <w:b/>
        </w:rPr>
        <w:t>kreativního odvětví</w:t>
      </w:r>
      <w:r w:rsidR="008A3180">
        <w:rPr>
          <w:b/>
        </w:rPr>
        <w:t xml:space="preserve"> a </w:t>
      </w:r>
      <w:r w:rsidRPr="00F84981">
        <w:rPr>
          <w:b/>
        </w:rPr>
        <w:t>prostřednictvím mnohojazyčnosti</w:t>
      </w:r>
      <w:r w:rsidR="008A3180">
        <w:rPr>
          <w:b/>
        </w:rPr>
        <w:t xml:space="preserve"> v </w:t>
      </w:r>
      <w:r w:rsidRPr="00F84981">
        <w:rPr>
          <w:b/>
        </w:rPr>
        <w:t>digitální éře</w:t>
      </w:r>
    </w:p>
    <w:p w:rsidR="00B7181F" w:rsidRPr="00F84981" w:rsidRDefault="00B7181F" w:rsidP="00B7181F">
      <w:pPr>
        <w:jc w:val="center"/>
      </w:pPr>
      <w:r w:rsidRPr="00F84981">
        <w:rPr>
          <w:b/>
        </w:rPr>
        <w:t>– návrh závěrů Rady –</w:t>
      </w:r>
    </w:p>
    <w:p w:rsidR="00B7181F" w:rsidRPr="00F84981" w:rsidRDefault="00B7181F" w:rsidP="00B7181F">
      <w:pPr>
        <w:spacing w:before="360"/>
        <w:rPr>
          <w:bCs/>
        </w:rPr>
      </w:pPr>
      <w:r w:rsidRPr="00F84981">
        <w:t>RADA EVROPSKÉ UNIE,</w:t>
      </w:r>
    </w:p>
    <w:p w:rsidR="00B7181F" w:rsidRPr="00F84981" w:rsidRDefault="00B7181F" w:rsidP="00B7181F">
      <w:r w:rsidRPr="00F84981">
        <w:t>VĚDOMA SI TOHO, ŽE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num" w:pos="708"/>
        </w:tabs>
        <w:ind w:left="709" w:hanging="567"/>
      </w:pPr>
      <w:r w:rsidRPr="00F84981">
        <w:t>kulturní</w:t>
      </w:r>
      <w:r w:rsidR="008A3180">
        <w:t xml:space="preserve"> a </w:t>
      </w:r>
      <w:r w:rsidRPr="00F84981">
        <w:t>jazyková rozmanitost je nedílnou součástí Evropské unie</w:t>
      </w:r>
      <w:r w:rsidR="008A3180">
        <w:t xml:space="preserve"> a </w:t>
      </w:r>
      <w:r w:rsidRPr="00F84981">
        <w:t>jejích základních hodnot. Přispívá</w:t>
      </w:r>
      <w:r w:rsidR="008A3180">
        <w:t xml:space="preserve"> k </w:t>
      </w:r>
      <w:r w:rsidRPr="00F84981">
        <w:t>rozkvětu kreativity, tvůrčí svobody</w:t>
      </w:r>
      <w:r w:rsidR="008A3180">
        <w:t xml:space="preserve"> a </w:t>
      </w:r>
      <w:r w:rsidRPr="00F84981">
        <w:t>kulturních výměn</w:t>
      </w:r>
      <w:r w:rsidR="008A3180">
        <w:t xml:space="preserve"> a k </w:t>
      </w:r>
      <w:r w:rsidRPr="00F84981">
        <w:t>rozmanitosti</w:t>
      </w:r>
      <w:r w:rsidR="008A3180">
        <w:t xml:space="preserve"> a </w:t>
      </w:r>
      <w:r w:rsidRPr="00F84981">
        <w:t>kvalitě kulturní</w:t>
      </w:r>
      <w:r w:rsidR="008A3180">
        <w:t xml:space="preserve"> a </w:t>
      </w:r>
      <w:r w:rsidRPr="00F84981">
        <w:t>umělecké nabídky pro všechny Evropany. Podporuje vzájemné porozumění</w:t>
      </w:r>
      <w:r w:rsidR="008A3180">
        <w:t xml:space="preserve"> a </w:t>
      </w:r>
      <w:r w:rsidRPr="00F84981">
        <w:t>respekt vůči kulturám</w:t>
      </w:r>
      <w:r w:rsidR="008A3180">
        <w:t xml:space="preserve"> a </w:t>
      </w:r>
      <w:r w:rsidRPr="00F84981">
        <w:t>jazykům</w:t>
      </w:r>
      <w:r w:rsidR="008A3180">
        <w:t xml:space="preserve"> a </w:t>
      </w:r>
      <w:r w:rsidRPr="00F84981">
        <w:t>je společným dědictvím, bohatstvím, silnou stránkou</w:t>
      </w:r>
      <w:r w:rsidR="008A3180">
        <w:t xml:space="preserve"> a </w:t>
      </w:r>
      <w:r w:rsidRPr="00F84981">
        <w:t>charakteristickým rysem vztahů</w:t>
      </w:r>
      <w:r w:rsidR="008A3180">
        <w:t xml:space="preserve"> v </w:t>
      </w:r>
      <w:r w:rsidRPr="00F84981">
        <w:t>rámci Evropy</w:t>
      </w:r>
      <w:r w:rsidR="008A3180">
        <w:t xml:space="preserve"> a </w:t>
      </w:r>
      <w:r w:rsidRPr="00F84981">
        <w:t>se zbytkem světa;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num" w:pos="708"/>
        </w:tabs>
        <w:ind w:left="709" w:hanging="567"/>
      </w:pPr>
      <w:r w:rsidRPr="00F84981">
        <w:t>je nezbytné podporovat mobilitu</w:t>
      </w:r>
      <w:r w:rsidR="008A3180">
        <w:t xml:space="preserve"> a </w:t>
      </w:r>
      <w:r w:rsidRPr="00F84981">
        <w:t>výměny mezi evropskými umělci, kulturními organizacemi</w:t>
      </w:r>
      <w:r w:rsidR="008A3180">
        <w:t xml:space="preserve"> a </w:t>
      </w:r>
      <w:r w:rsidRPr="00F84981">
        <w:t>pracovníky kulturního</w:t>
      </w:r>
      <w:r w:rsidR="008A3180">
        <w:t xml:space="preserve"> a </w:t>
      </w:r>
      <w:r w:rsidRPr="00F84981">
        <w:t>kreativního odvětví</w:t>
      </w:r>
      <w:r w:rsidR="008A3180">
        <w:t xml:space="preserve"> na </w:t>
      </w:r>
      <w:r w:rsidRPr="00F84981">
        <w:t>vnitrostátní</w:t>
      </w:r>
      <w:r w:rsidR="008A3180">
        <w:t xml:space="preserve"> i </w:t>
      </w:r>
      <w:r w:rsidRPr="00F84981">
        <w:t>evropské úrovni, jak je to zakotveno</w:t>
      </w:r>
      <w:r w:rsidR="008A3180">
        <w:t xml:space="preserve"> v </w:t>
      </w:r>
      <w:r w:rsidRPr="00F84981">
        <w:t>programu Kreativní Evropa,</w:t>
      </w:r>
      <w:r w:rsidR="008A3180">
        <w:t xml:space="preserve"> a </w:t>
      </w:r>
      <w:r w:rsidRPr="00F84981">
        <w:t>to zejména po krizi způsobené pandemií COVID-19. Rovněž je nezbytné podporovat přístup ke kultuře</w:t>
      </w:r>
      <w:r w:rsidR="008A3180">
        <w:t xml:space="preserve"> a </w:t>
      </w:r>
      <w:r w:rsidRPr="00F84981">
        <w:t>šíření kulturních děl</w:t>
      </w:r>
      <w:r w:rsidR="008A3180">
        <w:t xml:space="preserve"> v </w:t>
      </w:r>
      <w:r w:rsidRPr="00F84981">
        <w:t>rámci Evropy,</w:t>
      </w:r>
      <w:r w:rsidR="008A3180">
        <w:t xml:space="preserve"> a </w:t>
      </w:r>
      <w:r w:rsidRPr="00F84981">
        <w:t>obohacovat tak individuálně</w:t>
      </w:r>
      <w:r w:rsidR="008A3180">
        <w:t xml:space="preserve"> i </w:t>
      </w:r>
      <w:r w:rsidRPr="00F84981">
        <w:t>kolektivně naše životy;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</w:pPr>
      <w:r w:rsidRPr="00F84981">
        <w:t>mobilita umělců</w:t>
      </w:r>
      <w:r w:rsidR="008A3180">
        <w:t xml:space="preserve"> a </w:t>
      </w:r>
      <w:r w:rsidRPr="00F84981">
        <w:t>pracovníků kulturního</w:t>
      </w:r>
      <w:r w:rsidR="008A3180">
        <w:t xml:space="preserve"> a </w:t>
      </w:r>
      <w:r w:rsidRPr="00F84981">
        <w:t>kreativního odvětví by měla být usnadněna nejen mezi evropskými kulturními organizacemi, ale také mezi jednotlivými umělci</w:t>
      </w:r>
      <w:r w:rsidR="008A3180">
        <w:t xml:space="preserve"> a </w:t>
      </w:r>
      <w:r w:rsidRPr="00F84981">
        <w:t>profesionály, jak to</w:t>
      </w:r>
      <w:r w:rsidR="008A3180">
        <w:t xml:space="preserve"> od </w:t>
      </w:r>
      <w:r w:rsidRPr="00F84981">
        <w:t>roku 2018 umožňují pilotní projekty i-</w:t>
      </w:r>
      <w:proofErr w:type="spellStart"/>
      <w:r w:rsidRPr="00F84981">
        <w:t>Portunus</w:t>
      </w:r>
      <w:proofErr w:type="spellEnd"/>
      <w:r w:rsidRPr="00F84981">
        <w:t>. Tato mobilita jim umožňuje spolupracovat</w:t>
      </w:r>
      <w:r w:rsidR="008A3180">
        <w:t xml:space="preserve"> a </w:t>
      </w:r>
      <w:r w:rsidRPr="00F84981">
        <w:t>společně tvořit, vytvářet sítě, osvojovat si nové kompetence, dovednosti</w:t>
      </w:r>
      <w:r w:rsidR="008A3180">
        <w:t xml:space="preserve"> a </w:t>
      </w:r>
      <w:r w:rsidRPr="00F84981">
        <w:t>techniky, hledat inspiraci, oslovovat nové publikum</w:t>
      </w:r>
      <w:r w:rsidR="008A3180">
        <w:t xml:space="preserve"> a </w:t>
      </w:r>
      <w:r w:rsidRPr="00F84981">
        <w:t>získávat přístup</w:t>
      </w:r>
      <w:r w:rsidR="008A3180">
        <w:t xml:space="preserve"> na </w:t>
      </w:r>
      <w:r w:rsidRPr="00F84981">
        <w:t>nové trhy</w:t>
      </w:r>
      <w:r w:rsidR="008A3180">
        <w:t xml:space="preserve"> a k </w:t>
      </w:r>
      <w:r w:rsidRPr="00F84981">
        <w:t>novým pracovním příležitostem;</w:t>
      </w:r>
    </w:p>
    <w:p w:rsidR="00B7181F" w:rsidRPr="00F84981" w:rsidRDefault="00B7181F" w:rsidP="008A3180">
      <w:pPr>
        <w:pStyle w:val="Point123"/>
        <w:numPr>
          <w:ilvl w:val="0"/>
          <w:numId w:val="24"/>
        </w:numPr>
        <w:tabs>
          <w:tab w:val="left" w:pos="720"/>
        </w:tabs>
        <w:spacing w:before="60" w:after="60" w:line="312" w:lineRule="auto"/>
        <w:rPr>
          <w:bCs/>
        </w:rPr>
      </w:pPr>
      <w:r w:rsidRPr="00F84981">
        <w:br w:type="page"/>
      </w:r>
      <w:r w:rsidRPr="00F84981">
        <w:lastRenderedPageBreak/>
        <w:t>v rámci mobility umělců</w:t>
      </w:r>
      <w:r w:rsidR="008A3180">
        <w:t xml:space="preserve"> a </w:t>
      </w:r>
      <w:r w:rsidRPr="00F84981">
        <w:t>pracovníků kulturního</w:t>
      </w:r>
      <w:r w:rsidR="008A3180">
        <w:t xml:space="preserve"> a </w:t>
      </w:r>
      <w:r w:rsidRPr="00F84981">
        <w:t>kreativního odvětví je možno užitečným způsobem využívat příležitostí, jako jsou pobytové programy,</w:t>
      </w:r>
      <w:r w:rsidR="008A3180">
        <w:t xml:space="preserve"> a </w:t>
      </w:r>
      <w:r w:rsidRPr="00F84981">
        <w:t>evropských sítí institucí nebo festivalů. Lze ji usnadnit zejména prostřednictvím komplexních, přesných</w:t>
      </w:r>
      <w:r w:rsidR="008A3180">
        <w:t xml:space="preserve"> a </w:t>
      </w:r>
      <w:r w:rsidRPr="00F84981">
        <w:t>mnohojazyčných informací</w:t>
      </w:r>
      <w:r w:rsidR="008A3180">
        <w:t xml:space="preserve"> o </w:t>
      </w:r>
      <w:r w:rsidRPr="00F84981">
        <w:t>stávajících programech mobility, dostupné pomoci</w:t>
      </w:r>
      <w:r w:rsidR="008A3180">
        <w:t xml:space="preserve"> a </w:t>
      </w:r>
      <w:r w:rsidRPr="00F84981">
        <w:t>programech, které zohledňují celkový kontext mobility;</w:t>
      </w:r>
    </w:p>
    <w:p w:rsidR="00B7181F" w:rsidRPr="00F84981" w:rsidRDefault="00B7181F" w:rsidP="008A3180">
      <w:pPr>
        <w:pStyle w:val="Odstavecseseznamem"/>
        <w:spacing w:before="60" w:after="60" w:line="312" w:lineRule="auto"/>
        <w:rPr>
          <w:bCs/>
        </w:rPr>
      </w:pPr>
    </w:p>
    <w:p w:rsidR="00B7181F" w:rsidRPr="00F84981" w:rsidRDefault="00B7181F" w:rsidP="008A3180">
      <w:pPr>
        <w:pStyle w:val="Point123"/>
        <w:numPr>
          <w:ilvl w:val="0"/>
          <w:numId w:val="24"/>
        </w:numPr>
        <w:tabs>
          <w:tab w:val="left" w:pos="720"/>
        </w:tabs>
        <w:spacing w:before="60" w:after="60" w:line="312" w:lineRule="auto"/>
        <w:rPr>
          <w:bCs/>
        </w:rPr>
      </w:pPr>
      <w:r w:rsidRPr="00F84981">
        <w:t>evropské programy mobility přispívají</w:t>
      </w:r>
      <w:r w:rsidR="008A3180">
        <w:t xml:space="preserve"> k </w:t>
      </w:r>
      <w:r w:rsidRPr="00F84981">
        <w:t>navazování</w:t>
      </w:r>
      <w:r w:rsidR="008A3180">
        <w:t xml:space="preserve"> a </w:t>
      </w:r>
      <w:r w:rsidRPr="00F84981">
        <w:t>podpoře partnerství, která jsou jednou</w:t>
      </w:r>
      <w:r w:rsidR="008A3180">
        <w:t xml:space="preserve"> z </w:t>
      </w:r>
      <w:r w:rsidRPr="00F84981">
        <w:t>podmínek při podávání žádostí</w:t>
      </w:r>
      <w:r w:rsidR="008A3180">
        <w:t xml:space="preserve"> o </w:t>
      </w:r>
      <w:r w:rsidRPr="00F84981">
        <w:t>financování projektů spolupráce</w:t>
      </w:r>
      <w:r w:rsidR="008A3180">
        <w:t xml:space="preserve"> v </w:t>
      </w:r>
      <w:r w:rsidRPr="00F84981">
        <w:t>rámci programu Kreativní Evropa;</w:t>
      </w:r>
    </w:p>
    <w:p w:rsidR="00B7181F" w:rsidRPr="00F84981" w:rsidRDefault="00B7181F" w:rsidP="008A3180">
      <w:pPr>
        <w:pStyle w:val="Odstavecseseznamem"/>
        <w:spacing w:before="60" w:after="60" w:line="312" w:lineRule="auto"/>
        <w:rPr>
          <w:bCs/>
        </w:rPr>
      </w:pPr>
    </w:p>
    <w:p w:rsidR="00B7181F" w:rsidRPr="00F84981" w:rsidRDefault="00B7181F" w:rsidP="008A3180">
      <w:pPr>
        <w:pStyle w:val="Point123"/>
        <w:numPr>
          <w:ilvl w:val="0"/>
          <w:numId w:val="24"/>
        </w:numPr>
        <w:tabs>
          <w:tab w:val="left" w:pos="720"/>
        </w:tabs>
        <w:spacing w:before="60" w:after="60" w:line="312" w:lineRule="auto"/>
        <w:rPr>
          <w:bCs/>
        </w:rPr>
      </w:pPr>
      <w:r w:rsidRPr="00F84981">
        <w:t>v rámci ambiciózní politiky kulturní</w:t>
      </w:r>
      <w:r w:rsidR="008A3180">
        <w:t xml:space="preserve"> a </w:t>
      </w:r>
      <w:r w:rsidRPr="00F84981">
        <w:t>jazykové rozmanitosti by měla plně začleňovat otázky udržitelnosti</w:t>
      </w:r>
      <w:r w:rsidR="008A3180">
        <w:t xml:space="preserve"> a </w:t>
      </w:r>
      <w:r w:rsidRPr="00F84981">
        <w:t>tato politika by měla využívat technologických inovací,</w:t>
      </w:r>
      <w:r w:rsidR="008A3180">
        <w:t xml:space="preserve"> a </w:t>
      </w:r>
      <w:r w:rsidRPr="00F84981">
        <w:t>to</w:t>
      </w:r>
      <w:r w:rsidR="008A3180">
        <w:t xml:space="preserve"> i v </w:t>
      </w:r>
      <w:r w:rsidRPr="00F84981">
        <w:t>digitální oblasti;</w:t>
      </w:r>
    </w:p>
    <w:p w:rsidR="00B7181F" w:rsidRPr="00F84981" w:rsidRDefault="00B7181F" w:rsidP="008A3180">
      <w:pPr>
        <w:pStyle w:val="Odstavecseseznamem"/>
        <w:spacing w:before="60" w:after="60" w:line="312" w:lineRule="auto"/>
        <w:rPr>
          <w:bCs/>
        </w:rPr>
      </w:pPr>
    </w:p>
    <w:p w:rsidR="00B7181F" w:rsidRPr="00F84981" w:rsidRDefault="00B7181F" w:rsidP="008A3180">
      <w:pPr>
        <w:pStyle w:val="Point123"/>
        <w:numPr>
          <w:ilvl w:val="0"/>
          <w:numId w:val="24"/>
        </w:numPr>
        <w:tabs>
          <w:tab w:val="left" w:pos="720"/>
        </w:tabs>
        <w:spacing w:before="60" w:after="60" w:line="312" w:lineRule="auto"/>
        <w:rPr>
          <w:bCs/>
        </w:rPr>
      </w:pPr>
      <w:r w:rsidRPr="00F84981">
        <w:t>mnohojazyčnost (označovaná anglickým termínem „</w:t>
      </w:r>
      <w:proofErr w:type="spellStart"/>
      <w:r w:rsidRPr="00F84981">
        <w:t>multilingualism</w:t>
      </w:r>
      <w:proofErr w:type="spellEnd"/>
      <w:r w:rsidRPr="00F84981">
        <w:t>“)</w:t>
      </w:r>
      <w:r w:rsidRPr="00F84981">
        <w:rPr>
          <w:rStyle w:val="Znakapoznpodarou"/>
        </w:rPr>
        <w:footnoteReference w:id="1"/>
      </w:r>
      <w:r w:rsidRPr="00F84981">
        <w:t xml:space="preserve"> podporuje kulturní rozmanitost</w:t>
      </w:r>
      <w:r w:rsidR="008A3180">
        <w:t xml:space="preserve"> a </w:t>
      </w:r>
      <w:r w:rsidRPr="00F84981">
        <w:t>kreativitu,</w:t>
      </w:r>
      <w:r w:rsidR="008A3180">
        <w:t xml:space="preserve"> a </w:t>
      </w:r>
      <w:r w:rsidRPr="00F84981">
        <w:t>to</w:t>
      </w:r>
      <w:r w:rsidR="008A3180">
        <w:t xml:space="preserve"> i v </w:t>
      </w:r>
      <w:r w:rsidRPr="00F84981">
        <w:t>oblasti audiovizuálního, mediálního</w:t>
      </w:r>
      <w:r w:rsidR="008A3180">
        <w:t xml:space="preserve"> a </w:t>
      </w:r>
      <w:r w:rsidRPr="00F84981">
        <w:t>digitálního obsahu,</w:t>
      </w:r>
      <w:r w:rsidR="008A3180">
        <w:t xml:space="preserve"> a </w:t>
      </w:r>
      <w:r w:rsidRPr="00F84981">
        <w:t>umožňuje širší přístup</w:t>
      </w:r>
      <w:r w:rsidR="008A3180">
        <w:t xml:space="preserve"> k </w:t>
      </w:r>
      <w:r w:rsidRPr="00F84981">
        <w:t>různým kulturním přístupům, dílům, znalostem</w:t>
      </w:r>
      <w:r w:rsidR="008A3180">
        <w:t xml:space="preserve"> a </w:t>
      </w:r>
      <w:r w:rsidRPr="00F84981">
        <w:t>myšlenkám. Jazyková kompetence (vícejazyčnost, označovaná anglickým termínem „</w:t>
      </w:r>
      <w:proofErr w:type="spellStart"/>
      <w:r w:rsidRPr="00F84981">
        <w:t>plurilingualism</w:t>
      </w:r>
      <w:proofErr w:type="spellEnd"/>
      <w:r w:rsidRPr="00F84981">
        <w:t>“</w:t>
      </w:r>
      <w:r w:rsidRPr="00F84981">
        <w:rPr>
          <w:rStyle w:val="Znakapoznpodarou"/>
        </w:rPr>
        <w:footnoteReference w:id="2"/>
      </w:r>
      <w:r w:rsidRPr="00F84981">
        <w:t>) představuje důležitou výhodu</w:t>
      </w:r>
      <w:r w:rsidR="008A3180">
        <w:t xml:space="preserve"> v </w:t>
      </w:r>
      <w:r w:rsidRPr="00F84981">
        <w:t>globalizovaném kontextu</w:t>
      </w:r>
      <w:r w:rsidR="008A3180">
        <w:t xml:space="preserve"> a </w:t>
      </w:r>
      <w:r w:rsidRPr="00F84981">
        <w:t>přispívá</w:t>
      </w:r>
      <w:r w:rsidR="008A3180">
        <w:t xml:space="preserve"> k </w:t>
      </w:r>
      <w:r w:rsidRPr="00F84981">
        <w:t>profesní mobilitě</w:t>
      </w:r>
      <w:r w:rsidR="008A3180">
        <w:t xml:space="preserve"> a </w:t>
      </w:r>
      <w:r w:rsidRPr="00F84981">
        <w:t>výměnám</w:t>
      </w:r>
      <w:r w:rsidR="008A3180">
        <w:t xml:space="preserve"> v </w:t>
      </w:r>
      <w:r w:rsidRPr="00F84981">
        <w:t>kulturním</w:t>
      </w:r>
      <w:r w:rsidR="008A3180">
        <w:t xml:space="preserve"> a </w:t>
      </w:r>
      <w:r w:rsidRPr="00F84981">
        <w:t>kreativním odvětví;</w:t>
      </w:r>
    </w:p>
    <w:p w:rsidR="00B7181F" w:rsidRPr="00F84981" w:rsidRDefault="00B7181F" w:rsidP="008A3180">
      <w:pPr>
        <w:pStyle w:val="Odstavecseseznamem"/>
        <w:spacing w:before="60" w:after="60" w:line="312" w:lineRule="auto"/>
        <w:rPr>
          <w:bCs/>
        </w:rPr>
      </w:pPr>
    </w:p>
    <w:p w:rsidR="00B7181F" w:rsidRPr="00F84981" w:rsidRDefault="00B7181F" w:rsidP="008A3180">
      <w:pPr>
        <w:pStyle w:val="Point123"/>
        <w:numPr>
          <w:ilvl w:val="0"/>
          <w:numId w:val="24"/>
        </w:numPr>
        <w:tabs>
          <w:tab w:val="left" w:pos="720"/>
        </w:tabs>
        <w:spacing w:before="60" w:after="60" w:line="312" w:lineRule="auto"/>
        <w:rPr>
          <w:bCs/>
        </w:rPr>
      </w:pPr>
      <w:r w:rsidRPr="00F84981">
        <w:t>významnou úlohu</w:t>
      </w:r>
      <w:r w:rsidR="008A3180">
        <w:t xml:space="preserve"> v </w:t>
      </w:r>
      <w:r w:rsidRPr="00F84981">
        <w:t>rámci šíření uměleckých děl, znalostí</w:t>
      </w:r>
      <w:r w:rsidR="008A3180">
        <w:t xml:space="preserve"> a </w:t>
      </w:r>
      <w:r w:rsidRPr="00F84981">
        <w:t>myšlenek,</w:t>
      </w:r>
      <w:r w:rsidR="008A3180">
        <w:t xml:space="preserve"> a </w:t>
      </w:r>
      <w:r w:rsidRPr="00F84981">
        <w:t>to zejména</w:t>
      </w:r>
      <w:r w:rsidR="008A3180">
        <w:t xml:space="preserve"> v </w:t>
      </w:r>
      <w:r w:rsidRPr="00F84981">
        <w:t>případě méně rozšířených evropských jazyků, hrají profesionální překladatelé, tlumočníci</w:t>
      </w:r>
      <w:r w:rsidR="008A3180">
        <w:t xml:space="preserve"> a </w:t>
      </w:r>
      <w:r w:rsidRPr="00F84981">
        <w:t>jazykoví pedagogové,</w:t>
      </w:r>
      <w:r w:rsidR="008A3180">
        <w:t xml:space="preserve"> a </w:t>
      </w:r>
      <w:r w:rsidRPr="00F84981">
        <w:t>každodenně tak podporují evropskou kulturní rozmanitost;</w:t>
      </w:r>
    </w:p>
    <w:p w:rsidR="00B7181F" w:rsidRPr="00F84981" w:rsidRDefault="00B7181F" w:rsidP="008A3180">
      <w:pPr>
        <w:pStyle w:val="Odstavecseseznamem"/>
        <w:spacing w:before="60" w:after="60" w:line="312" w:lineRule="auto"/>
        <w:rPr>
          <w:bCs/>
        </w:rPr>
      </w:pPr>
    </w:p>
    <w:p w:rsidR="00B7181F" w:rsidRPr="00F84981" w:rsidRDefault="00B7181F" w:rsidP="008A3180">
      <w:pPr>
        <w:pStyle w:val="Point123"/>
        <w:numPr>
          <w:ilvl w:val="0"/>
          <w:numId w:val="24"/>
        </w:numPr>
        <w:tabs>
          <w:tab w:val="left" w:pos="720"/>
        </w:tabs>
        <w:spacing w:before="60" w:after="60" w:line="312" w:lineRule="auto"/>
        <w:rPr>
          <w:bCs/>
        </w:rPr>
      </w:pPr>
      <w:r w:rsidRPr="00F84981">
        <w:t>Jazykové</w:t>
      </w:r>
      <w:r w:rsidR="008A3180">
        <w:t xml:space="preserve"> a </w:t>
      </w:r>
      <w:r w:rsidRPr="00F84981">
        <w:t>sémantické webové technologie mohou podporovat mnohojazyčnost</w:t>
      </w:r>
      <w:r w:rsidR="008A3180">
        <w:t xml:space="preserve"> a </w:t>
      </w:r>
      <w:r w:rsidRPr="00F84981">
        <w:t>komunikaci napříč jazyky; pomáhat při studiu</w:t>
      </w:r>
      <w:r w:rsidR="008A3180">
        <w:t xml:space="preserve"> a </w:t>
      </w:r>
      <w:r w:rsidRPr="00F84981">
        <w:t>výuce jazyků</w:t>
      </w:r>
      <w:r w:rsidR="008A3180">
        <w:t xml:space="preserve"> a </w:t>
      </w:r>
      <w:r w:rsidRPr="00F84981">
        <w:t>zvyšování povědomí</w:t>
      </w:r>
      <w:r w:rsidR="008A3180">
        <w:t xml:space="preserve"> o </w:t>
      </w:r>
      <w:r w:rsidRPr="00F84981">
        <w:t>nich</w:t>
      </w:r>
      <w:r w:rsidR="008A3180">
        <w:t xml:space="preserve"> a </w:t>
      </w:r>
      <w:r w:rsidRPr="00F84981">
        <w:t>poskytnout profesionálním překladatelům užitečné nástroje, přičemž je třeba mít</w:t>
      </w:r>
      <w:r w:rsidR="008A3180">
        <w:t xml:space="preserve"> na </w:t>
      </w:r>
      <w:r w:rsidRPr="00F84981">
        <w:t>paměti, že tyto nástroje nemohou plně nahradit překlady provedené lidmi,</w:t>
      </w:r>
      <w:r w:rsidR="008A3180">
        <w:t xml:space="preserve"> a </w:t>
      </w:r>
      <w:r w:rsidRPr="00F84981">
        <w:t>jejich výstupy proto musí být</w:t>
      </w:r>
      <w:r w:rsidR="008A3180">
        <w:t xml:space="preserve"> v </w:t>
      </w:r>
      <w:r w:rsidRPr="00F84981">
        <w:t>zájmu přesnosti vždy pečlivě monitorovány</w:t>
      </w:r>
      <w:r w:rsidR="008A3180">
        <w:t xml:space="preserve"> a </w:t>
      </w:r>
      <w:r w:rsidRPr="00F84981">
        <w:t>upravovány;</w:t>
      </w:r>
    </w:p>
    <w:p w:rsidR="00B7181F" w:rsidRPr="00F84981" w:rsidRDefault="00B7181F" w:rsidP="00B7181F">
      <w:pPr>
        <w:pStyle w:val="HeadingIVX"/>
        <w:numPr>
          <w:ilvl w:val="0"/>
          <w:numId w:val="23"/>
        </w:numPr>
      </w:pPr>
      <w:r w:rsidRPr="00F84981">
        <w:br w:type="page"/>
      </w:r>
      <w:r w:rsidRPr="00F84981">
        <w:lastRenderedPageBreak/>
        <w:t>MOBILITA UMĚLCŮ A PRACOVNÍKŮ KULTURNÍHO A KREATIVNÍHO ODVĚTVÍ</w:t>
      </w:r>
    </w:p>
    <w:p w:rsidR="00B7181F" w:rsidRPr="00F84981" w:rsidRDefault="00B7181F" w:rsidP="00B7181F">
      <w:pPr>
        <w:pStyle w:val="HeadingLeft"/>
      </w:pPr>
      <w:r w:rsidRPr="00F84981">
        <w:rPr>
          <w:b w:val="0"/>
          <w:bCs/>
        </w:rPr>
        <w:t>VYZÝVÁ KOMISI, ABY: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num" w:pos="708"/>
        </w:tabs>
        <w:ind w:left="709" w:hanging="567"/>
        <w:rPr>
          <w:bCs/>
        </w:rPr>
      </w:pPr>
      <w:r w:rsidRPr="00F84981">
        <w:t>zajistila širší přístup umělců</w:t>
      </w:r>
      <w:r w:rsidR="008A3180">
        <w:t xml:space="preserve"> a </w:t>
      </w:r>
      <w:r w:rsidRPr="00F84981">
        <w:t>pracovníků kulturního</w:t>
      </w:r>
      <w:r w:rsidR="008A3180">
        <w:t xml:space="preserve"> a </w:t>
      </w:r>
      <w:r w:rsidRPr="00F84981">
        <w:t>kreativního odvětví ke grantům EU</w:t>
      </w:r>
      <w:r w:rsidR="008A3180">
        <w:t xml:space="preserve"> na </w:t>
      </w:r>
      <w:r w:rsidRPr="00F84981">
        <w:t>podporu mobility</w:t>
      </w:r>
      <w:r w:rsidR="008A3180">
        <w:t xml:space="preserve"> v </w:t>
      </w:r>
      <w:r w:rsidRPr="00F84981">
        <w:t>rámci programu Kreativní Evropa prostřednictvím stabilního systému</w:t>
      </w:r>
      <w:r w:rsidR="008A3180">
        <w:t xml:space="preserve"> na </w:t>
      </w:r>
      <w:r w:rsidRPr="00F84981">
        <w:t>evropské úrovni určeného pro individuální</w:t>
      </w:r>
      <w:r w:rsidR="008A3180">
        <w:t xml:space="preserve"> a </w:t>
      </w:r>
      <w:r w:rsidRPr="00F84981">
        <w:t>kolektivní kulturní mobilitu</w:t>
      </w:r>
      <w:r w:rsidR="008A3180">
        <w:t xml:space="preserve"> v </w:t>
      </w:r>
      <w:r w:rsidRPr="00F84981">
        <w:t>rámci Evropské unie</w:t>
      </w:r>
      <w:r w:rsidR="008A3180">
        <w:t xml:space="preserve"> i </w:t>
      </w:r>
      <w:r w:rsidRPr="00F84981">
        <w:t>mimo ni,</w:t>
      </w:r>
      <w:r w:rsidR="008A3180">
        <w:t xml:space="preserve"> s </w:t>
      </w:r>
      <w:r w:rsidRPr="00F84981">
        <w:t>cílem podpořit dynamiku dosaženou prostřednictvím pilotních projektů i-</w:t>
      </w:r>
      <w:proofErr w:type="spellStart"/>
      <w:r w:rsidRPr="00F84981">
        <w:t>Portunus</w:t>
      </w:r>
      <w:proofErr w:type="spellEnd"/>
      <w:r w:rsidRPr="00F84981">
        <w:t>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num" w:pos="708"/>
        </w:tabs>
        <w:ind w:left="709" w:hanging="567"/>
        <w:rPr>
          <w:bCs/>
        </w:rPr>
      </w:pPr>
      <w:r w:rsidRPr="00F84981">
        <w:t>zkoumala způsoby, jak usnadnit vytvoření přístupného, interaktivního</w:t>
      </w:r>
      <w:r w:rsidR="008A3180">
        <w:t xml:space="preserve"> a </w:t>
      </w:r>
      <w:r w:rsidRPr="00F84981">
        <w:t>mnohojazyčného informačního portálu vycházejícího pokud možno ze stávajících portálů, jako jsou EURAXESS</w:t>
      </w:r>
      <w:r w:rsidRPr="008A3180">
        <w:rPr>
          <w:b/>
          <w:vertAlign w:val="superscript"/>
        </w:rPr>
        <w:footnoteReference w:id="3"/>
      </w:r>
      <w:r w:rsidRPr="00F84981">
        <w:t xml:space="preserve">, </w:t>
      </w:r>
      <w:proofErr w:type="spellStart"/>
      <w:r w:rsidRPr="00F84981">
        <w:t>CulturEU</w:t>
      </w:r>
      <w:proofErr w:type="spellEnd"/>
      <w:r w:rsidRPr="00F84981">
        <w:rPr>
          <w:rStyle w:val="Znakapoznpodarou"/>
        </w:rPr>
        <w:footnoteReference w:id="4"/>
      </w:r>
      <w:r w:rsidR="008A3180">
        <w:t xml:space="preserve"> a </w:t>
      </w:r>
      <w:r w:rsidRPr="00F84981">
        <w:t>další, který by poskytoval komplexní</w:t>
      </w:r>
      <w:r w:rsidR="008A3180">
        <w:t xml:space="preserve"> a </w:t>
      </w:r>
      <w:r w:rsidRPr="00F84981">
        <w:t>aktuální informace</w:t>
      </w:r>
      <w:r w:rsidR="008A3180">
        <w:t xml:space="preserve"> o </w:t>
      </w:r>
      <w:r w:rsidRPr="00F84981">
        <w:t>možnostech mobility</w:t>
      </w:r>
      <w:r w:rsidR="008A3180">
        <w:t xml:space="preserve"> a </w:t>
      </w:r>
      <w:r w:rsidRPr="00F84981">
        <w:t>grantech poskytovaných členskými státy</w:t>
      </w:r>
      <w:r w:rsidR="008A3180">
        <w:t xml:space="preserve"> a na </w:t>
      </w:r>
      <w:r w:rsidRPr="00F84981">
        <w:t>evropské úrovni určených pro jednotlivce, skupiny jednotlivců</w:t>
      </w:r>
      <w:r w:rsidR="008A3180">
        <w:t xml:space="preserve"> a </w:t>
      </w:r>
      <w:r w:rsidRPr="00F84981">
        <w:t>případně kulturní organizace,</w:t>
      </w:r>
      <w:r w:rsidR="008A3180">
        <w:t xml:space="preserve"> a </w:t>
      </w:r>
      <w:r w:rsidRPr="00F84981">
        <w:t>který by rovněž podporoval vytváření sítí organizací, míst konání příslušných akcí</w:t>
      </w:r>
      <w:r w:rsidR="008A3180">
        <w:t xml:space="preserve"> a </w:t>
      </w:r>
      <w:r w:rsidRPr="00F84981">
        <w:t>zájemců</w:t>
      </w:r>
      <w:r w:rsidR="008A3180">
        <w:t xml:space="preserve"> o </w:t>
      </w:r>
      <w:r w:rsidRPr="00F84981">
        <w:t>mobilitu;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num" w:pos="708"/>
        </w:tabs>
        <w:ind w:left="709" w:hanging="567"/>
        <w:rPr>
          <w:bCs/>
        </w:rPr>
      </w:pPr>
      <w:r w:rsidRPr="00F84981">
        <w:t>přispívala</w:t>
      </w:r>
      <w:r w:rsidR="008A3180">
        <w:t xml:space="preserve"> k </w:t>
      </w:r>
      <w:r w:rsidRPr="00F84981">
        <w:t>podpoře</w:t>
      </w:r>
      <w:r w:rsidR="008A3180">
        <w:t xml:space="preserve"> a </w:t>
      </w:r>
      <w:r w:rsidRPr="00F84981">
        <w:t>vytváření sítí informačních služeb</w:t>
      </w:r>
      <w:r w:rsidR="008A3180">
        <w:t xml:space="preserve"> v </w:t>
      </w:r>
      <w:r w:rsidRPr="00F84981">
        <w:t>oblasti mobility určených pro umělce</w:t>
      </w:r>
      <w:r w:rsidR="008A3180">
        <w:t xml:space="preserve"> a </w:t>
      </w:r>
      <w:r w:rsidRPr="00F84981">
        <w:t>pracovníky kulturního</w:t>
      </w:r>
      <w:r w:rsidR="008A3180">
        <w:t xml:space="preserve"> a </w:t>
      </w:r>
      <w:r w:rsidRPr="00F84981">
        <w:t>kreativního odvětví;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num" w:pos="708"/>
        </w:tabs>
        <w:ind w:left="709" w:hanging="567"/>
        <w:rPr>
          <w:bCs/>
        </w:rPr>
      </w:pPr>
      <w:r w:rsidRPr="00F84981">
        <w:t>zajistila, aby evropské programy mobility zohledňovaly problematiku genderové rovnosti</w:t>
      </w:r>
      <w:r w:rsidR="008A3180">
        <w:t xml:space="preserve"> a </w:t>
      </w:r>
      <w:r w:rsidRPr="00F84981">
        <w:t>specifické potřeby začínajících umělců</w:t>
      </w:r>
      <w:r w:rsidR="008A3180">
        <w:t xml:space="preserve"> a </w:t>
      </w:r>
      <w:r w:rsidRPr="00F84981">
        <w:t>umělců ze znevýhodněných skupin nebo umělců</w:t>
      </w:r>
      <w:r w:rsidR="008A3180">
        <w:t xml:space="preserve"> s </w:t>
      </w:r>
      <w:r w:rsidRPr="00F84981">
        <w:t>omezenými příležitostmi, kteří obvykle využívají stávajících programů mobility</w:t>
      </w:r>
      <w:r w:rsidR="008A3180">
        <w:t xml:space="preserve"> v </w:t>
      </w:r>
      <w:r w:rsidRPr="00F84981">
        <w:t>menší míře,</w:t>
      </w:r>
      <w:r w:rsidR="008A3180">
        <w:t xml:space="preserve"> a </w:t>
      </w:r>
      <w:r w:rsidRPr="00F84981">
        <w:t>aby jim poskytovaly individualizovanou podporu;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num" w:pos="708"/>
        </w:tabs>
        <w:ind w:left="709" w:hanging="567"/>
        <w:rPr>
          <w:bCs/>
        </w:rPr>
      </w:pPr>
      <w:r w:rsidRPr="00F84981">
        <w:t>aktivně prosazovala</w:t>
      </w:r>
      <w:r w:rsidR="008A3180">
        <w:t xml:space="preserve"> a </w:t>
      </w:r>
      <w:r w:rsidRPr="00F84981">
        <w:t>podporovala jazykovou rozmanitost</w:t>
      </w:r>
      <w:r w:rsidR="008A3180">
        <w:t xml:space="preserve"> v </w:t>
      </w:r>
      <w:r w:rsidRPr="00F84981">
        <w:t>rámci programů mobility určených pro studenty umění, umělce</w:t>
      </w:r>
      <w:r w:rsidR="008A3180">
        <w:t xml:space="preserve"> a </w:t>
      </w:r>
      <w:r w:rsidRPr="00F84981">
        <w:t>pracovníky kulturního</w:t>
      </w:r>
      <w:r w:rsidR="008A3180">
        <w:t xml:space="preserve"> a </w:t>
      </w:r>
      <w:r w:rsidRPr="00F84981">
        <w:t>kreativního odvětví,</w:t>
      </w:r>
      <w:r w:rsidR="008A3180">
        <w:t xml:space="preserve"> a </w:t>
      </w:r>
      <w:r w:rsidRPr="00F84981">
        <w:t>to</w:t>
      </w:r>
      <w:r w:rsidR="008A3180">
        <w:t xml:space="preserve"> v </w:t>
      </w:r>
      <w:r w:rsidRPr="00F84981">
        <w:t>oblasti fyzické</w:t>
      </w:r>
      <w:r w:rsidR="008A3180">
        <w:t xml:space="preserve"> i </w:t>
      </w:r>
      <w:r w:rsidRPr="00F84981">
        <w:t>virtuální mobility, případně</w:t>
      </w:r>
      <w:r w:rsidR="008A3180">
        <w:t xml:space="preserve"> na </w:t>
      </w:r>
      <w:r w:rsidRPr="00F84981">
        <w:t>základě stávajících modelů, jako je platforma online jazykové podpory</w:t>
      </w:r>
      <w:r w:rsidRPr="00F84981">
        <w:rPr>
          <w:rStyle w:val="Znakapoznpodarou"/>
        </w:rPr>
        <w:footnoteReference w:id="5"/>
      </w:r>
      <w:r w:rsidRPr="00F84981">
        <w:t xml:space="preserve"> vytvořená pro potřeby programu Erasmus+</w:t>
      </w:r>
      <w:r w:rsidR="008A3180">
        <w:t xml:space="preserve"> a </w:t>
      </w:r>
      <w:r w:rsidRPr="00F84981">
        <w:t>Evropského sboru solidarity;</w:t>
      </w:r>
    </w:p>
    <w:p w:rsidR="00B7181F" w:rsidRPr="00F84981" w:rsidRDefault="00B7181F" w:rsidP="00B7181F">
      <w:pPr>
        <w:pStyle w:val="Point123"/>
        <w:numPr>
          <w:ilvl w:val="0"/>
          <w:numId w:val="0"/>
        </w:numPr>
        <w:rPr>
          <w:u w:val="single"/>
        </w:rPr>
      </w:pPr>
      <w:r w:rsidRPr="00F84981">
        <w:br w:type="page"/>
      </w:r>
      <w:r w:rsidRPr="00F84981">
        <w:rPr>
          <w:bCs/>
          <w:u w:val="single"/>
        </w:rPr>
        <w:t>VYZÝVÁ ČLENSKÉ STÁTY, ABY: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</w:pPr>
      <w:r w:rsidRPr="00F84981">
        <w:t>vedle iniciativ nebo programů EU rozvíjely programy mobility nebo</w:t>
      </w:r>
      <w:r w:rsidR="008A3180">
        <w:t xml:space="preserve"> v </w:t>
      </w:r>
      <w:r w:rsidRPr="00F84981">
        <w:t>nich pokračovaly</w:t>
      </w:r>
      <w:r w:rsidR="008A3180">
        <w:t xml:space="preserve"> s </w:t>
      </w:r>
      <w:r w:rsidRPr="00F84981">
        <w:t>cílem co nejvíce usnadnit mobilitu</w:t>
      </w:r>
      <w:r w:rsidR="008A3180">
        <w:t xml:space="preserve"> a </w:t>
      </w:r>
      <w:r w:rsidRPr="00F84981">
        <w:t>výměny mezi evropskými umělci</w:t>
      </w:r>
      <w:r w:rsidR="008A3180">
        <w:t xml:space="preserve"> a </w:t>
      </w:r>
      <w:r w:rsidRPr="00F84981">
        <w:t>pracovníky kulturního</w:t>
      </w:r>
      <w:r w:rsidR="008A3180">
        <w:t xml:space="preserve"> a </w:t>
      </w:r>
      <w:r w:rsidRPr="00F84981">
        <w:t>kreativního odvětví;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</w:pPr>
      <w:r w:rsidRPr="00F84981">
        <w:t>podporovaly spolupráci mezi kulturními orgány</w:t>
      </w:r>
      <w:r w:rsidR="008A3180">
        <w:t xml:space="preserve"> a </w:t>
      </w:r>
      <w:r w:rsidRPr="00F84981">
        <w:t>subjekty odpovědnými</w:t>
      </w:r>
      <w:r w:rsidR="008A3180">
        <w:t xml:space="preserve"> za </w:t>
      </w:r>
      <w:r w:rsidRPr="00F84981">
        <w:t>otázky související</w:t>
      </w:r>
      <w:r w:rsidR="008A3180">
        <w:t xml:space="preserve"> s </w:t>
      </w:r>
      <w:r w:rsidRPr="00F84981">
        <w:t>mobilitou, například vydávání víz,</w:t>
      </w:r>
      <w:r w:rsidR="008A3180">
        <w:t xml:space="preserve"> s </w:t>
      </w:r>
      <w:r w:rsidRPr="00F84981">
        <w:t>cílem zjistit možnosti, jak zohlednit specifické rysy mobility umělců</w:t>
      </w:r>
      <w:r w:rsidR="008A3180">
        <w:t xml:space="preserve"> a </w:t>
      </w:r>
      <w:r w:rsidRPr="00F84981">
        <w:t>pracovníků kulturního</w:t>
      </w:r>
      <w:r w:rsidR="008A3180">
        <w:t xml:space="preserve"> a </w:t>
      </w:r>
      <w:r w:rsidRPr="00F84981">
        <w:t>kreativního odvětví;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</w:pPr>
      <w:r w:rsidRPr="00F84981">
        <w:t>podporovaly práci zaměřenou</w:t>
      </w:r>
      <w:r w:rsidR="008A3180">
        <w:t xml:space="preserve"> na </w:t>
      </w:r>
      <w:r w:rsidRPr="00F84981">
        <w:t>usnadnění přeshraniční mobility snížením administrativní zátěže, pokud jde například</w:t>
      </w:r>
      <w:r w:rsidR="008A3180">
        <w:t xml:space="preserve"> o </w:t>
      </w:r>
      <w:r w:rsidRPr="00F84981">
        <w:t>sociální zabezpečení, pojištění, bydlení, cla nebo daně,</w:t>
      </w:r>
      <w:r w:rsidR="008A3180">
        <w:t xml:space="preserve"> a </w:t>
      </w:r>
      <w:r w:rsidRPr="00F84981">
        <w:t>přitom lépe zohledňovaly specifika kulturních</w:t>
      </w:r>
      <w:r w:rsidR="008A3180">
        <w:t xml:space="preserve"> a </w:t>
      </w:r>
      <w:r w:rsidRPr="00F84981">
        <w:t>kreativních profesí</w:t>
      </w:r>
      <w:r w:rsidR="008A3180">
        <w:t xml:space="preserve"> a </w:t>
      </w:r>
      <w:r w:rsidRPr="00F84981">
        <w:t>ve vhodných případech využívaly budoucí výsledky činnosti skupiny pro otevřenou metodu koordinace</w:t>
      </w:r>
      <w:r w:rsidRPr="00F84981">
        <w:rPr>
          <w:rStyle w:val="Znakapoznpodarou"/>
        </w:rPr>
        <w:footnoteReference w:id="6"/>
      </w:r>
      <w:r w:rsidRPr="00F84981">
        <w:t xml:space="preserve"> týkající se postavení</w:t>
      </w:r>
      <w:r w:rsidR="008A3180">
        <w:t xml:space="preserve"> a </w:t>
      </w:r>
      <w:r w:rsidRPr="00F84981">
        <w:t>pracovních podmínek umělců</w:t>
      </w:r>
      <w:r w:rsidR="008A3180">
        <w:t xml:space="preserve"> a </w:t>
      </w:r>
      <w:r w:rsidRPr="00F84981">
        <w:t>pracovníků kulturního</w:t>
      </w:r>
      <w:r w:rsidR="008A3180">
        <w:t xml:space="preserve"> a </w:t>
      </w:r>
      <w:r w:rsidRPr="00F84981">
        <w:t>kreativního odvětví;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</w:pPr>
      <w:r w:rsidRPr="00F84981">
        <w:t>prosazovaly poskytování, podporu</w:t>
      </w:r>
      <w:r w:rsidR="008A3180">
        <w:t xml:space="preserve"> a </w:t>
      </w:r>
      <w:r w:rsidRPr="00F84981">
        <w:t>posilování informačních služeb</w:t>
      </w:r>
      <w:r w:rsidR="008A3180">
        <w:t xml:space="preserve"> v </w:t>
      </w:r>
      <w:r w:rsidRPr="00F84981">
        <w:t>oblasti mobility určených pro umělce</w:t>
      </w:r>
      <w:r w:rsidR="008A3180">
        <w:t xml:space="preserve"> a </w:t>
      </w:r>
      <w:r w:rsidRPr="00F84981">
        <w:t>pracovníky kulturního</w:t>
      </w:r>
      <w:r w:rsidR="008A3180">
        <w:t xml:space="preserve"> a </w:t>
      </w:r>
      <w:r w:rsidRPr="00F84981">
        <w:t>kreativního odvětví</w:t>
      </w:r>
      <w:r w:rsidR="008A3180">
        <w:t xml:space="preserve"> s </w:t>
      </w:r>
      <w:r w:rsidRPr="00F84981">
        <w:t>cílem pomoci jim</w:t>
      </w:r>
      <w:r w:rsidR="008A3180">
        <w:t xml:space="preserve"> s </w:t>
      </w:r>
      <w:r w:rsidRPr="00F84981">
        <w:t>formalitami souvisejícími</w:t>
      </w:r>
      <w:r w:rsidR="008A3180">
        <w:t xml:space="preserve"> s </w:t>
      </w:r>
      <w:r w:rsidRPr="00F84981">
        <w:t>mobilitou,</w:t>
      </w:r>
      <w:r w:rsidR="008A3180">
        <w:t xml:space="preserve"> a </w:t>
      </w:r>
      <w:r w:rsidRPr="00F84981">
        <w:t>zejména jim poskytnout informace</w:t>
      </w:r>
      <w:r w:rsidR="008A3180">
        <w:t xml:space="preserve"> o </w:t>
      </w:r>
      <w:r w:rsidRPr="00F84981">
        <w:t>platném regulačním rámci,</w:t>
      </w:r>
      <w:r w:rsidR="008A3180">
        <w:t xml:space="preserve"> a </w:t>
      </w:r>
      <w:r w:rsidRPr="00F84981">
        <w:t>to prostřednictvím spolupráce</w:t>
      </w:r>
      <w:r w:rsidR="008A3180">
        <w:t xml:space="preserve"> s </w:t>
      </w:r>
      <w:r w:rsidRPr="00F84981">
        <w:t>relevantními orgány;</w:t>
      </w:r>
    </w:p>
    <w:p w:rsidR="00B7181F" w:rsidRPr="00F84981" w:rsidRDefault="00B7181F" w:rsidP="00B7181F">
      <w:pPr>
        <w:pStyle w:val="HeadingLeft"/>
        <w:rPr>
          <w:b w:val="0"/>
          <w:bCs/>
        </w:rPr>
      </w:pPr>
      <w:r w:rsidRPr="00F84981">
        <w:rPr>
          <w:b w:val="0"/>
          <w:bCs/>
        </w:rPr>
        <w:t>Vyzývá členské státy</w:t>
      </w:r>
      <w:r w:rsidR="008A3180">
        <w:rPr>
          <w:b w:val="0"/>
          <w:bCs/>
        </w:rPr>
        <w:t xml:space="preserve"> a </w:t>
      </w:r>
      <w:r w:rsidRPr="00F84981">
        <w:rPr>
          <w:b w:val="0"/>
          <w:bCs/>
        </w:rPr>
        <w:t>Komisi, aby</w:t>
      </w:r>
      <w:r w:rsidR="008A3180">
        <w:rPr>
          <w:b w:val="0"/>
          <w:bCs/>
        </w:rPr>
        <w:t xml:space="preserve"> v </w:t>
      </w:r>
      <w:r w:rsidRPr="00F84981">
        <w:rPr>
          <w:b w:val="0"/>
          <w:bCs/>
        </w:rPr>
        <w:t>rámci svých příslušných pravomocí</w:t>
      </w:r>
      <w:r w:rsidR="008A3180">
        <w:rPr>
          <w:b w:val="0"/>
          <w:bCs/>
        </w:rPr>
        <w:t xml:space="preserve"> a v </w:t>
      </w:r>
      <w:r w:rsidRPr="00F84981">
        <w:rPr>
          <w:b w:val="0"/>
          <w:bCs/>
        </w:rPr>
        <w:t>souladu se zásadou subsidiarity:</w:t>
      </w:r>
    </w:p>
    <w:p w:rsidR="00B7181F" w:rsidRPr="00F84981" w:rsidRDefault="00B7181F" w:rsidP="008A3180">
      <w:pPr>
        <w:pStyle w:val="Point123"/>
        <w:numPr>
          <w:ilvl w:val="0"/>
          <w:numId w:val="24"/>
        </w:numPr>
        <w:ind w:hanging="578"/>
        <w:rPr>
          <w:bCs/>
        </w:rPr>
      </w:pPr>
      <w:r w:rsidRPr="00F84981">
        <w:t>usnadňovaly mobilitu umělců</w:t>
      </w:r>
      <w:r w:rsidR="008A3180">
        <w:t xml:space="preserve"> a </w:t>
      </w:r>
      <w:r w:rsidRPr="00F84981">
        <w:t>kulturních pracovníků,</w:t>
      </w:r>
      <w:r w:rsidR="008A3180">
        <w:t xml:space="preserve"> a </w:t>
      </w:r>
      <w:r w:rsidRPr="00F84981">
        <w:t>to zejména tím, že se budou zabývat jejich specifickými potřebami souvisejícími</w:t>
      </w:r>
      <w:r w:rsidR="008A3180">
        <w:t xml:space="preserve"> s </w:t>
      </w:r>
      <w:r w:rsidRPr="00F84981">
        <w:t>cestováním, jako je přeprava hudebních nástrojů nebo uměleckých materiálů, přičemž je třeba brát ohled</w:t>
      </w:r>
      <w:r w:rsidR="008A3180">
        <w:t xml:space="preserve"> na </w:t>
      </w:r>
      <w:r w:rsidRPr="00F84981">
        <w:t>rozmanitost</w:t>
      </w:r>
      <w:r w:rsidR="008A3180">
        <w:t xml:space="preserve"> a </w:t>
      </w:r>
      <w:proofErr w:type="spellStart"/>
      <w:r w:rsidRPr="00F84981">
        <w:t>inkluzivnost</w:t>
      </w:r>
      <w:proofErr w:type="spellEnd"/>
      <w:r w:rsidRPr="00F84981">
        <w:t>;</w:t>
      </w:r>
    </w:p>
    <w:p w:rsidR="00B7181F" w:rsidRPr="00F84981" w:rsidRDefault="00B7181F" w:rsidP="00B7181F">
      <w:pPr>
        <w:pStyle w:val="Point123"/>
        <w:numPr>
          <w:ilvl w:val="0"/>
          <w:numId w:val="0"/>
        </w:numPr>
        <w:ind w:left="709"/>
        <w:jc w:val="both"/>
        <w:rPr>
          <w:bCs/>
        </w:rPr>
      </w:pPr>
      <w:r w:rsidRPr="00F84981">
        <w:br w:type="page"/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  <w:rPr>
          <w:bCs/>
        </w:rPr>
      </w:pPr>
      <w:r w:rsidRPr="00F84981">
        <w:t>podporovaly programy mobility, které bez ohledu</w:t>
      </w:r>
      <w:r w:rsidR="008A3180">
        <w:t xml:space="preserve"> na </w:t>
      </w:r>
      <w:r w:rsidRPr="00F84981">
        <w:t>jejich úroveň řízení zohledňují veškeré cestovní náklady</w:t>
      </w:r>
      <w:r w:rsidR="008A3180">
        <w:t xml:space="preserve"> a </w:t>
      </w:r>
      <w:r w:rsidRPr="00F84981">
        <w:t>odpovídajícím způsobem začleňují ekologické otázky,</w:t>
      </w:r>
      <w:r w:rsidR="008A3180">
        <w:t xml:space="preserve"> a </w:t>
      </w:r>
      <w:r w:rsidRPr="00F84981">
        <w:t>současně braly</w:t>
      </w:r>
      <w:r w:rsidR="008A3180">
        <w:t xml:space="preserve"> v </w:t>
      </w:r>
      <w:r w:rsidRPr="00F84981">
        <w:t>potaz zeměpisnou rozmanitost</w:t>
      </w:r>
      <w:r w:rsidR="008A3180">
        <w:t xml:space="preserve"> a </w:t>
      </w:r>
      <w:r w:rsidRPr="00F84981">
        <w:t>charakteristiky Unie,</w:t>
      </w:r>
      <w:r w:rsidR="008A3180">
        <w:t xml:space="preserve"> a </w:t>
      </w:r>
      <w:r w:rsidRPr="00F84981">
        <w:t>podporují zejména:</w:t>
      </w:r>
    </w:p>
    <w:p w:rsidR="00B7181F" w:rsidRPr="00F84981" w:rsidRDefault="00B7181F" w:rsidP="00B7181F">
      <w:pPr>
        <w:pStyle w:val="Dash1"/>
        <w:rPr>
          <w:bCs/>
        </w:rPr>
      </w:pPr>
      <w:r w:rsidRPr="00F84981">
        <w:t>kombinovanou mobilitu využitím potenciálu virtuálních výměn</w:t>
      </w:r>
      <w:r w:rsidR="008A3180">
        <w:t xml:space="preserve"> s </w:t>
      </w:r>
      <w:r w:rsidRPr="00F84981">
        <w:t>náležitým ohledem</w:t>
      </w:r>
      <w:r w:rsidR="008A3180">
        <w:t xml:space="preserve"> na </w:t>
      </w:r>
      <w:r w:rsidRPr="00F84981">
        <w:t>jazykovou rozmanitost účastníků</w:t>
      </w:r>
      <w:r w:rsidR="008A3180">
        <w:t xml:space="preserve"> a </w:t>
      </w:r>
      <w:r w:rsidRPr="00F84981">
        <w:t>jedinečnou hodnotu fyzické mobility, a</w:t>
      </w:r>
    </w:p>
    <w:p w:rsidR="00B7181F" w:rsidRPr="00F84981" w:rsidRDefault="00B7181F" w:rsidP="00B7181F">
      <w:pPr>
        <w:pStyle w:val="Dash1"/>
        <w:rPr>
          <w:bCs/>
        </w:rPr>
      </w:pPr>
      <w:r w:rsidRPr="00F84981">
        <w:t>používání méně znečišťujících dopravních prostředků, aniž by byly vyloučeny případy, kdy je letecká doprava jedinou nebo nezbytnou variantou, například</w:t>
      </w:r>
      <w:r w:rsidR="008A3180">
        <w:t xml:space="preserve"> v </w:t>
      </w:r>
      <w:r w:rsidRPr="00F84981">
        <w:t>případě nejvzdálenějších regionů</w:t>
      </w:r>
      <w:r w:rsidRPr="00F84981">
        <w:rPr>
          <w:rStyle w:val="Znakapoznpodarou"/>
        </w:rPr>
        <w:footnoteReference w:id="7"/>
      </w:r>
      <w:r w:rsidRPr="00F84981">
        <w:t>, zámořských zemí</w:t>
      </w:r>
      <w:r w:rsidR="008A3180">
        <w:t xml:space="preserve"> a </w:t>
      </w:r>
      <w:r w:rsidRPr="00F84981">
        <w:t>území</w:t>
      </w:r>
      <w:r w:rsidRPr="00F84981">
        <w:rPr>
          <w:rStyle w:val="Znakapoznpodarou"/>
        </w:rPr>
        <w:footnoteReference w:id="8"/>
      </w:r>
      <w:r w:rsidRPr="00F84981">
        <w:t>, ostrovů</w:t>
      </w:r>
      <w:r w:rsidR="008A3180">
        <w:t xml:space="preserve"> a </w:t>
      </w:r>
      <w:r w:rsidRPr="00F84981">
        <w:t>ostrovních oblastí;</w:t>
      </w:r>
    </w:p>
    <w:p w:rsidR="00B7181F" w:rsidRPr="00F84981" w:rsidRDefault="00B7181F" w:rsidP="00B7181F">
      <w:pPr>
        <w:pStyle w:val="Dash1"/>
        <w:numPr>
          <w:ilvl w:val="0"/>
          <w:numId w:val="24"/>
        </w:numPr>
        <w:ind w:hanging="578"/>
        <w:rPr>
          <w:bCs/>
        </w:rPr>
      </w:pPr>
      <w:r w:rsidRPr="00F84981">
        <w:t>v zájmu lepšího zohlednění specifik kulturního</w:t>
      </w:r>
      <w:r w:rsidR="008A3180">
        <w:t xml:space="preserve"> a </w:t>
      </w:r>
      <w:r w:rsidRPr="00F84981">
        <w:t>kreativního odvětví zlepšily využívání nástrojů</w:t>
      </w:r>
      <w:r w:rsidR="008A3180">
        <w:t xml:space="preserve"> na </w:t>
      </w:r>
      <w:r w:rsidRPr="00F84981">
        <w:t>podporu celoživotního učení</w:t>
      </w:r>
      <w:r w:rsidRPr="00F84981">
        <w:rPr>
          <w:rStyle w:val="Znakapoznpodarou"/>
        </w:rPr>
        <w:footnoteReference w:id="9"/>
      </w:r>
      <w:r w:rsidRPr="00F84981">
        <w:t xml:space="preserve"> pracovníků kulturního</w:t>
      </w:r>
      <w:r w:rsidR="008A3180">
        <w:t xml:space="preserve"> a </w:t>
      </w:r>
      <w:r w:rsidRPr="00F84981">
        <w:t>kreativního odvětví, zejména posílením synergií</w:t>
      </w:r>
      <w:r w:rsidR="008A3180">
        <w:t xml:space="preserve"> s </w:t>
      </w:r>
      <w:r w:rsidRPr="00F84981">
        <w:t>programy Erasmus+</w:t>
      </w:r>
      <w:r w:rsidR="008A3180">
        <w:t xml:space="preserve"> a </w:t>
      </w:r>
      <w:r w:rsidRPr="00F84981">
        <w:t>Kreativní Evropa</w:t>
      </w:r>
      <w:r w:rsidR="008A3180">
        <w:t xml:space="preserve"> a </w:t>
      </w:r>
      <w:r w:rsidRPr="00F84981">
        <w:t>mezi těmito programy navzájem;</w:t>
      </w:r>
    </w:p>
    <w:p w:rsidR="00B7181F" w:rsidRPr="00F84981" w:rsidRDefault="00B7181F" w:rsidP="00B7181F">
      <w:pPr>
        <w:pStyle w:val="HeadingIVX"/>
        <w:numPr>
          <w:ilvl w:val="0"/>
          <w:numId w:val="23"/>
        </w:numPr>
      </w:pPr>
      <w:r w:rsidRPr="00F84981">
        <w:br w:type="page"/>
        <w:t>MNOHOJAZYČNOST V DIGITÁLNÍ ÉŘE V SOUVISLOSTI S OTÁZKAMI SOCIÁLNÍ SOUDRŽNOSTI A EVROPSKÉHO OBČANSTVÍ</w:t>
      </w:r>
    </w:p>
    <w:p w:rsidR="00B7181F" w:rsidRPr="00F84981" w:rsidRDefault="00B7181F" w:rsidP="00B7181F">
      <w:pPr>
        <w:pStyle w:val="HeadingLeft"/>
        <w:rPr>
          <w:b w:val="0"/>
          <w:bCs/>
        </w:rPr>
      </w:pPr>
      <w:r w:rsidRPr="00F84981">
        <w:rPr>
          <w:b w:val="0"/>
          <w:bCs/>
        </w:rPr>
        <w:t>Vyzývá Komisi, aby: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</w:pPr>
      <w:r w:rsidRPr="00F84981">
        <w:t>posílila začleňování problematiky mnohojazyčnosti</w:t>
      </w:r>
      <w:r w:rsidR="008A3180">
        <w:t xml:space="preserve"> do </w:t>
      </w:r>
      <w:r w:rsidRPr="00F84981">
        <w:t>programů Unie;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</w:pPr>
      <w:r w:rsidRPr="00F84981">
        <w:t xml:space="preserve">podporovala </w:t>
      </w:r>
      <w:proofErr w:type="spellStart"/>
      <w:r w:rsidRPr="00F84981">
        <w:t>celounijní</w:t>
      </w:r>
      <w:proofErr w:type="spellEnd"/>
      <w:r w:rsidRPr="00F84981">
        <w:t xml:space="preserve"> strategický přístup</w:t>
      </w:r>
      <w:r w:rsidR="008A3180">
        <w:t xml:space="preserve"> k </w:t>
      </w:r>
      <w:r w:rsidRPr="00F84981">
        <w:t>mnohojazyčnosti</w:t>
      </w:r>
      <w:r w:rsidR="008A3180">
        <w:t xml:space="preserve"> v </w:t>
      </w:r>
      <w:r w:rsidRPr="00F84981">
        <w:t>digitálním prostředí;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</w:pPr>
      <w:r w:rsidRPr="00F84981">
        <w:t>nadále využívala příležitostí, které nabízejí jazykové technologie,</w:t>
      </w:r>
      <w:r w:rsidR="008A3180">
        <w:t xml:space="preserve"> k </w:t>
      </w:r>
      <w:r w:rsidRPr="00F84981">
        <w:t>zajištění vysoce kvalitního</w:t>
      </w:r>
      <w:r w:rsidR="008A3180">
        <w:t xml:space="preserve"> a </w:t>
      </w:r>
      <w:r w:rsidRPr="00F84981">
        <w:t>rozsáhlejšího překládání svých internetových stránek</w:t>
      </w:r>
      <w:r w:rsidR="008A3180">
        <w:t xml:space="preserve"> a </w:t>
      </w:r>
      <w:r w:rsidRPr="00F84981">
        <w:t>dalších komunikačních nástrojů</w:t>
      </w:r>
      <w:r w:rsidR="008A3180">
        <w:t xml:space="preserve"> do </w:t>
      </w:r>
      <w:r w:rsidRPr="00F84981">
        <w:t>všech úředních jazyků EU</w:t>
      </w:r>
      <w:r w:rsidRPr="00F84981">
        <w:rPr>
          <w:rStyle w:val="Znakapoznpodarou"/>
        </w:rPr>
        <w:footnoteReference w:id="10"/>
      </w:r>
      <w:r w:rsidRPr="00F84981">
        <w:t>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</w:pPr>
      <w:r w:rsidRPr="00F84981">
        <w:t>nabízela mnohojazyčný prostor</w:t>
      </w:r>
      <w:r w:rsidR="008A3180">
        <w:t xml:space="preserve"> s </w:t>
      </w:r>
      <w:r w:rsidRPr="00F84981">
        <w:t>informacemi</w:t>
      </w:r>
      <w:r w:rsidR="008A3180">
        <w:t xml:space="preserve"> o </w:t>
      </w:r>
      <w:r w:rsidRPr="00F84981">
        <w:t>evropských jazykových technologiích</w:t>
      </w:r>
      <w:r w:rsidR="008A3180">
        <w:t xml:space="preserve"> a </w:t>
      </w:r>
      <w:r w:rsidRPr="00F84981">
        <w:t>související podpoře</w:t>
      </w:r>
      <w:r w:rsidR="008A3180">
        <w:t xml:space="preserve"> a </w:t>
      </w:r>
      <w:r w:rsidRPr="00F84981">
        <w:t>zdrojích, včetně evropských programů pro vícejazyčnost</w:t>
      </w:r>
      <w:r w:rsidR="008A3180">
        <w:t xml:space="preserve"> a </w:t>
      </w:r>
      <w:r w:rsidRPr="00F84981">
        <w:t>překlad, ve spolupráci</w:t>
      </w:r>
      <w:r w:rsidR="008A3180">
        <w:t xml:space="preserve"> s </w:t>
      </w:r>
      <w:r w:rsidRPr="00F84981">
        <w:t>orgány, jako je Evropská federace národních jazykových ústavů (EFNIL);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</w:pPr>
      <w:r w:rsidRPr="00F84981">
        <w:t>v rámci úsilí</w:t>
      </w:r>
      <w:r w:rsidR="008A3180">
        <w:t xml:space="preserve"> o </w:t>
      </w:r>
      <w:r w:rsidRPr="00F84981">
        <w:t>posílení jazyků prostřednictvím technologií podporovala odpovědnou</w:t>
      </w:r>
      <w:r w:rsidR="008A3180">
        <w:t xml:space="preserve"> a </w:t>
      </w:r>
      <w:r w:rsidRPr="00F84981">
        <w:t>etickou správu údajů</w:t>
      </w:r>
      <w:r w:rsidR="008A3180">
        <w:t xml:space="preserve"> a </w:t>
      </w:r>
      <w:r w:rsidRPr="00F84981">
        <w:t>ochranu soukromí již</w:t>
      </w:r>
      <w:r w:rsidR="008A3180">
        <w:t xml:space="preserve"> od </w:t>
      </w:r>
      <w:r w:rsidRPr="00F84981">
        <w:t>návrhu;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</w:pPr>
      <w:r w:rsidRPr="00F84981">
        <w:t>prohloubila spolupráci</w:t>
      </w:r>
      <w:r w:rsidR="008A3180">
        <w:t xml:space="preserve"> s </w:t>
      </w:r>
      <w:r w:rsidRPr="00F84981">
        <w:t>vnitrostátními</w:t>
      </w:r>
      <w:r w:rsidR="008A3180">
        <w:t xml:space="preserve"> a </w:t>
      </w:r>
      <w:r w:rsidRPr="00F84981">
        <w:t>mezinárodními organizacemi působícími</w:t>
      </w:r>
      <w:r w:rsidR="008A3180">
        <w:t xml:space="preserve"> v </w:t>
      </w:r>
      <w:r w:rsidRPr="00F84981">
        <w:t>oblasti učení se jazykům, digitálních technologií</w:t>
      </w:r>
      <w:r w:rsidR="008A3180">
        <w:t xml:space="preserve"> a </w:t>
      </w:r>
      <w:r w:rsidRPr="00F84981">
        <w:t>kulturní</w:t>
      </w:r>
      <w:r w:rsidR="008A3180">
        <w:t xml:space="preserve"> a </w:t>
      </w:r>
      <w:r w:rsidRPr="00F84981">
        <w:t>jazykové rozmanitosti, [...] zejména</w:t>
      </w:r>
      <w:r w:rsidR="008A3180">
        <w:t xml:space="preserve"> s </w:t>
      </w:r>
      <w:r w:rsidRPr="00F84981">
        <w:t>Radou Evropy</w:t>
      </w:r>
      <w:r w:rsidR="008A3180">
        <w:t xml:space="preserve"> a </w:t>
      </w:r>
      <w:r w:rsidRPr="00F84981">
        <w:t>jejím Evropským střediskem pro moderní jazyky, jakož</w:t>
      </w:r>
      <w:r w:rsidR="008A3180">
        <w:t xml:space="preserve"> i s </w:t>
      </w:r>
      <w:r w:rsidRPr="00F84981">
        <w:t>organizací UNESCO;</w:t>
      </w:r>
    </w:p>
    <w:p w:rsidR="00B7181F" w:rsidRPr="00F84981" w:rsidRDefault="00B7181F" w:rsidP="00B7181F">
      <w:pPr>
        <w:pStyle w:val="HeadingLeft"/>
        <w:rPr>
          <w:b w:val="0"/>
          <w:bCs/>
        </w:rPr>
      </w:pPr>
      <w:r w:rsidRPr="00F84981">
        <w:br w:type="page"/>
      </w:r>
      <w:r w:rsidRPr="00F84981">
        <w:rPr>
          <w:b w:val="0"/>
        </w:rPr>
        <w:t>Vyzývá členské státy</w:t>
      </w:r>
      <w:r w:rsidR="008A3180">
        <w:rPr>
          <w:b w:val="0"/>
        </w:rPr>
        <w:t xml:space="preserve"> a </w:t>
      </w:r>
      <w:r w:rsidRPr="00F84981">
        <w:rPr>
          <w:b w:val="0"/>
        </w:rPr>
        <w:t>Komisi, aby</w:t>
      </w:r>
      <w:r w:rsidR="008A3180">
        <w:rPr>
          <w:b w:val="0"/>
        </w:rPr>
        <w:t xml:space="preserve"> v </w:t>
      </w:r>
      <w:r w:rsidRPr="00F84981">
        <w:rPr>
          <w:b w:val="0"/>
        </w:rPr>
        <w:t>rámci svých příslušných pravomocí</w:t>
      </w:r>
      <w:r w:rsidR="008A3180">
        <w:rPr>
          <w:b w:val="0"/>
        </w:rPr>
        <w:t xml:space="preserve"> a v </w:t>
      </w:r>
      <w:r w:rsidRPr="00F84981">
        <w:rPr>
          <w:b w:val="0"/>
        </w:rPr>
        <w:t>souladu se zásadou subsidiarity: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spacing w:line="312" w:lineRule="auto"/>
        <w:ind w:hanging="578"/>
        <w:jc w:val="both"/>
      </w:pPr>
      <w:r w:rsidRPr="00F84981">
        <w:t>podporovaly kulturní</w:t>
      </w:r>
      <w:r w:rsidR="008A3180">
        <w:t xml:space="preserve"> a </w:t>
      </w:r>
      <w:r w:rsidRPr="00F84981">
        <w:t>jazykovou rozmanitost</w:t>
      </w:r>
      <w:r w:rsidR="008A3180">
        <w:t xml:space="preserve"> a </w:t>
      </w:r>
      <w:r w:rsidRPr="00F84981">
        <w:t>šíření kulturních děl prostřednictvím překladů</w:t>
      </w:r>
      <w:r w:rsidR="008A3180">
        <w:t xml:space="preserve"> v </w:t>
      </w:r>
      <w:r w:rsidRPr="00F84981">
        <w:t>rámci všech médií, případně</w:t>
      </w:r>
      <w:r w:rsidR="008A3180">
        <w:t xml:space="preserve"> i </w:t>
      </w:r>
      <w:r w:rsidRPr="00F84981">
        <w:t>využitím nejnovějších digitálních technologií,</w:t>
      </w:r>
      <w:r w:rsidR="008A3180">
        <w:t xml:space="preserve"> a </w:t>
      </w:r>
      <w:r w:rsidRPr="00F84981">
        <w:t>to tím, že budou:</w:t>
      </w:r>
    </w:p>
    <w:p w:rsidR="00B7181F" w:rsidRPr="00F84981" w:rsidRDefault="00B7181F" w:rsidP="00B7181F">
      <w:pPr>
        <w:pStyle w:val="Pointabc1"/>
        <w:numPr>
          <w:ilvl w:val="3"/>
          <w:numId w:val="21"/>
        </w:numPr>
        <w:spacing w:line="312" w:lineRule="auto"/>
      </w:pPr>
      <w:r w:rsidRPr="00F84981">
        <w:t>v rámci vzdělávání podporovat překladatelství jako druh povolání,</w:t>
      </w:r>
      <w:r w:rsidR="008A3180">
        <w:t xml:space="preserve"> a </w:t>
      </w:r>
      <w:r w:rsidRPr="00F84981">
        <w:t>to počínaje tím, že se bude</w:t>
      </w:r>
      <w:r w:rsidR="008A3180">
        <w:t xml:space="preserve"> na </w:t>
      </w:r>
      <w:r w:rsidRPr="00F84981">
        <w:t>školách využívat překlad jako jeden</w:t>
      </w:r>
      <w:r w:rsidR="008A3180">
        <w:t xml:space="preserve"> z </w:t>
      </w:r>
      <w:r w:rsidRPr="00F84981">
        <w:t>postupů ke zlepšení dovednosti psaní</w:t>
      </w:r>
      <w:r w:rsidR="008A3180">
        <w:t xml:space="preserve"> a </w:t>
      </w:r>
      <w:r w:rsidRPr="00F84981">
        <w:t>jazykových dovedností;</w:t>
      </w:r>
    </w:p>
    <w:p w:rsidR="00B7181F" w:rsidRPr="00F84981" w:rsidRDefault="00B7181F" w:rsidP="00B7181F">
      <w:pPr>
        <w:pStyle w:val="Pointabc1"/>
        <w:numPr>
          <w:ilvl w:val="3"/>
          <w:numId w:val="21"/>
        </w:numPr>
        <w:spacing w:line="312" w:lineRule="auto"/>
      </w:pPr>
      <w:r w:rsidRPr="00F84981">
        <w:t>podporovat kvalitní počáteční odbornou přípravu</w:t>
      </w:r>
      <w:r w:rsidR="008A3180">
        <w:t xml:space="preserve"> v </w:t>
      </w:r>
      <w:r w:rsidRPr="00F84981">
        <w:t>oblasti překladu pro kulturní</w:t>
      </w:r>
      <w:r w:rsidR="008A3180">
        <w:t xml:space="preserve"> a </w:t>
      </w:r>
      <w:r w:rsidRPr="00F84981">
        <w:t>kreativní odvětví</w:t>
      </w:r>
      <w:r w:rsidR="008A3180">
        <w:t xml:space="preserve"> a </w:t>
      </w:r>
      <w:r w:rsidRPr="00F84981">
        <w:t>celoživotní odbornou přípravu profesionálních překladatelů</w:t>
      </w:r>
      <w:r w:rsidR="008A3180">
        <w:t xml:space="preserve"> a </w:t>
      </w:r>
      <w:r w:rsidRPr="00F84981">
        <w:t>přihlížet přitom</w:t>
      </w:r>
      <w:r w:rsidR="008A3180">
        <w:t xml:space="preserve"> k </w:t>
      </w:r>
      <w:r w:rsidRPr="00F84981">
        <w:t>rostoucí míře využívání digitálních technologií;</w:t>
      </w:r>
    </w:p>
    <w:p w:rsidR="00B7181F" w:rsidRPr="00F84981" w:rsidRDefault="00B7181F" w:rsidP="00B7181F">
      <w:pPr>
        <w:pStyle w:val="Pointabc1"/>
        <w:numPr>
          <w:ilvl w:val="3"/>
          <w:numId w:val="21"/>
        </w:numPr>
        <w:spacing w:line="312" w:lineRule="auto"/>
      </w:pPr>
      <w:r w:rsidRPr="00F84981">
        <w:t>zvyšovat atraktivitu povolání překladatelů zajištěním větší viditelnosti</w:t>
      </w:r>
      <w:r w:rsidR="008A3180">
        <w:t xml:space="preserve"> a </w:t>
      </w:r>
      <w:r w:rsidRPr="00F84981">
        <w:t>uznání;</w:t>
      </w:r>
    </w:p>
    <w:p w:rsidR="00B7181F" w:rsidRPr="00F84981" w:rsidRDefault="00B7181F" w:rsidP="00B7181F">
      <w:pPr>
        <w:pStyle w:val="Pointabc1"/>
        <w:numPr>
          <w:ilvl w:val="3"/>
          <w:numId w:val="21"/>
        </w:numPr>
        <w:spacing w:line="312" w:lineRule="auto"/>
      </w:pPr>
      <w:r w:rsidRPr="00F84981">
        <w:t>prosazovat lepší pracovní podmínky, spravedlivou odměnu</w:t>
      </w:r>
      <w:r w:rsidR="008A3180">
        <w:t xml:space="preserve"> a </w:t>
      </w:r>
      <w:r w:rsidRPr="00F84981">
        <w:t>spravedlivé smluvních praktiky pro překladatele, zejména</w:t>
      </w:r>
      <w:r w:rsidR="008A3180">
        <w:t xml:space="preserve"> v </w:t>
      </w:r>
      <w:r w:rsidRPr="00F84981">
        <w:t>kulturním</w:t>
      </w:r>
      <w:r w:rsidR="008A3180">
        <w:t xml:space="preserve"> a </w:t>
      </w:r>
      <w:r w:rsidRPr="00F84981">
        <w:t>kreativním odvětví, bez ohledu</w:t>
      </w:r>
      <w:r w:rsidR="008A3180">
        <w:t xml:space="preserve"> na </w:t>
      </w:r>
      <w:r w:rsidRPr="00F84981">
        <w:t>jazykové kombinace</w:t>
      </w:r>
      <w:r w:rsidR="008A3180">
        <w:t xml:space="preserve"> a s </w:t>
      </w:r>
      <w:r w:rsidRPr="00F84981">
        <w:t>náležitým ohledem</w:t>
      </w:r>
      <w:r w:rsidR="008A3180">
        <w:t xml:space="preserve"> na </w:t>
      </w:r>
      <w:r w:rsidRPr="00F84981">
        <w:t>autonomii sociálních partnerů;</w:t>
      </w:r>
    </w:p>
    <w:p w:rsidR="00B7181F" w:rsidRPr="00F84981" w:rsidRDefault="00B7181F" w:rsidP="008A3180">
      <w:pPr>
        <w:pStyle w:val="Pointabc1"/>
        <w:numPr>
          <w:ilvl w:val="3"/>
          <w:numId w:val="21"/>
        </w:numPr>
        <w:spacing w:line="312" w:lineRule="auto"/>
      </w:pPr>
      <w:r w:rsidRPr="00F84981">
        <w:t>posilovat stávající veřejnou podporu, zejména podporou vytváření sítí mezi profesionálními pracovníky, podněcováním spolupráce mezi relevantními organizacemi poskytujícími granty</w:t>
      </w:r>
      <w:r w:rsidR="008A3180">
        <w:t xml:space="preserve"> na </w:t>
      </w:r>
      <w:r w:rsidRPr="00F84981">
        <w:t>překlady</w:t>
      </w:r>
      <w:r w:rsidR="008A3180">
        <w:t xml:space="preserve"> a </w:t>
      </w:r>
      <w:r w:rsidRPr="00F84981">
        <w:t>zacílením financování</w:t>
      </w:r>
      <w:r w:rsidR="008A3180">
        <w:t xml:space="preserve"> na </w:t>
      </w:r>
      <w:r w:rsidRPr="00F84981">
        <w:t>překlady</w:t>
      </w:r>
      <w:r w:rsidR="008A3180">
        <w:t xml:space="preserve"> z </w:t>
      </w:r>
      <w:r w:rsidRPr="00F84981">
        <w:t>cizích jazyků</w:t>
      </w:r>
      <w:r w:rsidR="008A3180">
        <w:t xml:space="preserve"> a do </w:t>
      </w:r>
      <w:r w:rsidRPr="00F84981">
        <w:t>cizích jazyků,</w:t>
      </w:r>
      <w:r w:rsidR="008A3180">
        <w:t xml:space="preserve"> a </w:t>
      </w:r>
      <w:r w:rsidRPr="00F84981">
        <w:t>to</w:t>
      </w:r>
      <w:r w:rsidR="008A3180">
        <w:t xml:space="preserve"> na </w:t>
      </w:r>
      <w:r w:rsidRPr="00F84981">
        <w:t>vnitrostátní</w:t>
      </w:r>
      <w:r w:rsidR="008A3180">
        <w:t xml:space="preserve"> a </w:t>
      </w:r>
      <w:r w:rsidRPr="00F84981">
        <w:t>evropské úrovni;</w:t>
      </w:r>
    </w:p>
    <w:p w:rsidR="00B7181F" w:rsidRPr="00F84981" w:rsidRDefault="00B7181F" w:rsidP="00B7181F">
      <w:pPr>
        <w:pStyle w:val="Pointabc1"/>
        <w:numPr>
          <w:ilvl w:val="3"/>
          <w:numId w:val="21"/>
        </w:numPr>
        <w:spacing w:line="312" w:lineRule="auto"/>
      </w:pPr>
      <w:r w:rsidRPr="00F84981">
        <w:t>v rámci vhodných fór pokračovat ve výměnách týkajících se mnohojazyčnosti</w:t>
      </w:r>
      <w:r w:rsidR="008A3180">
        <w:t xml:space="preserve"> a </w:t>
      </w:r>
      <w:r w:rsidRPr="00F84981">
        <w:t>překladu</w:t>
      </w:r>
      <w:r w:rsidR="008A3180">
        <w:t xml:space="preserve"> v </w:t>
      </w:r>
      <w:r w:rsidRPr="00F84981">
        <w:t>rámci všech médií</w:t>
      </w:r>
      <w:r w:rsidR="008A3180">
        <w:t xml:space="preserve"> v </w:t>
      </w:r>
      <w:r w:rsidRPr="00F84981">
        <w:t>digitální éře, které budou pokrývat všechna kulturní, kreativní</w:t>
      </w:r>
      <w:r w:rsidR="008A3180">
        <w:t xml:space="preserve"> a </w:t>
      </w:r>
      <w:r w:rsidRPr="00F84981">
        <w:t>znalostní odvětví;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spacing w:line="312" w:lineRule="auto"/>
        <w:ind w:hanging="578"/>
        <w:jc w:val="both"/>
      </w:pPr>
      <w:r w:rsidRPr="00F84981">
        <w:br w:type="page"/>
        <w:t>podporovaly vícejazyčnost</w:t>
      </w:r>
      <w:r w:rsidR="008A3180">
        <w:t xml:space="preserve"> v </w:t>
      </w:r>
      <w:r w:rsidRPr="00F84981">
        <w:t>rámci celoživotního učení</w:t>
      </w:r>
      <w:r w:rsidRPr="00F84981">
        <w:rPr>
          <w:rStyle w:val="Znakapoznpodarou"/>
        </w:rPr>
        <w:footnoteReference w:id="11"/>
      </w:r>
      <w:r w:rsidRPr="00F84981">
        <w:t>, mimo jiné prostřednictvím osvětových kampaní, jako je Evropský den jazyků,</w:t>
      </w:r>
      <w:r w:rsidR="008A3180">
        <w:t xml:space="preserve"> a </w:t>
      </w:r>
      <w:r w:rsidRPr="00F84981">
        <w:t>vytváření</w:t>
      </w:r>
      <w:r w:rsidR="008A3180">
        <w:t xml:space="preserve"> a </w:t>
      </w:r>
      <w:r w:rsidRPr="00F84981">
        <w:t>zdokonalování digitálních nástrojů,</w:t>
      </w:r>
      <w:r w:rsidR="008A3180">
        <w:t xml:space="preserve"> a </w:t>
      </w:r>
      <w:r w:rsidRPr="00F84981">
        <w:t>zejména:</w:t>
      </w:r>
    </w:p>
    <w:p w:rsidR="00B7181F" w:rsidRPr="00F84981" w:rsidRDefault="00B7181F" w:rsidP="00B7181F">
      <w:pPr>
        <w:pStyle w:val="Pointabc1"/>
        <w:numPr>
          <w:ilvl w:val="0"/>
          <w:numId w:val="0"/>
        </w:numPr>
        <w:spacing w:line="312" w:lineRule="auto"/>
        <w:ind w:left="1701" w:hanging="567"/>
      </w:pPr>
      <w:r w:rsidRPr="00F84981">
        <w:t>a)</w:t>
      </w:r>
      <w:r w:rsidRPr="00F84981">
        <w:tab/>
        <w:t>ve vhodných případech poskytovaly dětem</w:t>
      </w:r>
      <w:r w:rsidR="008A3180">
        <w:t xml:space="preserve"> a </w:t>
      </w:r>
      <w:r w:rsidRPr="00F84981">
        <w:t>mládeži, včetně dětí</w:t>
      </w:r>
      <w:r w:rsidR="008A3180">
        <w:t xml:space="preserve"> a </w:t>
      </w:r>
      <w:r w:rsidRPr="00F84981">
        <w:t>mládeže</w:t>
      </w:r>
      <w:r w:rsidR="008A3180">
        <w:t xml:space="preserve"> s </w:t>
      </w:r>
      <w:r w:rsidRPr="00F84981">
        <w:t>omezenými příležitostmi, více příležitostí ke kontaktu</w:t>
      </w:r>
      <w:r w:rsidR="008A3180">
        <w:t xml:space="preserve"> s </w:t>
      </w:r>
      <w:r w:rsidRPr="00F84981">
        <w:t>jinými jazyky</w:t>
      </w:r>
      <w:r w:rsidR="008A3180">
        <w:t xml:space="preserve"> a </w:t>
      </w:r>
      <w:r w:rsidRPr="00F84981">
        <w:t>kulturami jakožto doplněk ke studiu úředních jazyků členských států;</w:t>
      </w:r>
      <w:bookmarkStart w:id="3" w:name="DQCErrorScope99a28703ff214dbfa9e4b17cdf6"/>
    </w:p>
    <w:bookmarkEnd w:id="3"/>
    <w:p w:rsidR="00B7181F" w:rsidRPr="00F84981" w:rsidRDefault="00B7181F" w:rsidP="00B7181F">
      <w:pPr>
        <w:pStyle w:val="Pointabc1"/>
        <w:numPr>
          <w:ilvl w:val="0"/>
          <w:numId w:val="0"/>
        </w:numPr>
        <w:spacing w:line="312" w:lineRule="auto"/>
        <w:ind w:left="1701" w:hanging="567"/>
      </w:pPr>
      <w:r w:rsidRPr="00F84981">
        <w:t>b)</w:t>
      </w:r>
      <w:r w:rsidRPr="00F84981">
        <w:tab/>
        <w:t>rozvíjely jazykové dovednosti studentů</w:t>
      </w:r>
      <w:r w:rsidR="008A3180">
        <w:t xml:space="preserve"> v </w:t>
      </w:r>
      <w:r w:rsidRPr="00F84981">
        <w:t>kulturních oborech, umělců</w:t>
      </w:r>
      <w:r w:rsidR="008A3180">
        <w:t xml:space="preserve"> a </w:t>
      </w:r>
      <w:r w:rsidRPr="00F84981">
        <w:t>pracovníků kulturního</w:t>
      </w:r>
      <w:r w:rsidR="008A3180">
        <w:t xml:space="preserve"> a </w:t>
      </w:r>
      <w:r w:rsidRPr="00F84981">
        <w:t>kreativního odvětví;</w:t>
      </w:r>
      <w:bookmarkStart w:id="4" w:name="DQCErrorScopef39f70baccb84de58efcb1df3fc"/>
    </w:p>
    <w:bookmarkEnd w:id="4"/>
    <w:p w:rsidR="00B7181F" w:rsidRPr="00F84981" w:rsidRDefault="00B7181F" w:rsidP="00B7181F">
      <w:pPr>
        <w:pStyle w:val="Point123"/>
        <w:numPr>
          <w:ilvl w:val="0"/>
          <w:numId w:val="0"/>
        </w:numPr>
        <w:tabs>
          <w:tab w:val="left" w:pos="720"/>
        </w:tabs>
        <w:ind w:left="1701" w:hanging="567"/>
        <w:jc w:val="both"/>
      </w:pPr>
      <w:r w:rsidRPr="00F84981">
        <w:t>c)</w:t>
      </w:r>
      <w:r w:rsidRPr="00F84981">
        <w:tab/>
        <w:t>usnadňovaly migrantům,</w:t>
      </w:r>
      <w:r w:rsidR="008A3180">
        <w:t xml:space="preserve"> a </w:t>
      </w:r>
      <w:r w:rsidRPr="00F84981">
        <w:t>zejména mladším migrantům, studium úředních jazyků jejich hostitelské země</w:t>
      </w:r>
      <w:r w:rsidR="008A3180">
        <w:t xml:space="preserve"> a </w:t>
      </w:r>
      <w:r w:rsidRPr="00F84981">
        <w:t>zároveň oceňovaly jazykovou rozmanitost;</w:t>
      </w:r>
    </w:p>
    <w:p w:rsidR="00B7181F" w:rsidRPr="00F84981" w:rsidRDefault="00B7181F" w:rsidP="00B7181F">
      <w:pPr>
        <w:pStyle w:val="Point123"/>
        <w:numPr>
          <w:ilvl w:val="0"/>
          <w:numId w:val="24"/>
        </w:numPr>
        <w:tabs>
          <w:tab w:val="left" w:pos="720"/>
        </w:tabs>
        <w:ind w:hanging="578"/>
        <w:jc w:val="both"/>
      </w:pPr>
      <w:r w:rsidRPr="00F84981">
        <w:t>v relevantních případech podporovaly výzkum</w:t>
      </w:r>
      <w:r w:rsidR="008A3180">
        <w:t xml:space="preserve"> a </w:t>
      </w:r>
      <w:r w:rsidRPr="00F84981">
        <w:t>vývoj jazykových technologií pro evropské občany</w:t>
      </w:r>
      <w:r w:rsidR="008A3180">
        <w:t xml:space="preserve"> a </w:t>
      </w:r>
      <w:r w:rsidRPr="00F84981">
        <w:t>podniky</w:t>
      </w:r>
      <w:r w:rsidR="008A3180">
        <w:t xml:space="preserve"> s </w:t>
      </w:r>
      <w:r w:rsidRPr="00F84981">
        <w:t>cílem posilovat mezikulturní výměny</w:t>
      </w:r>
      <w:r w:rsidR="008A3180">
        <w:t xml:space="preserve"> a </w:t>
      </w:r>
      <w:r w:rsidRPr="00F84981">
        <w:t>zlepšovat analytické kapacity</w:t>
      </w:r>
      <w:r w:rsidR="008A3180">
        <w:t xml:space="preserve"> a </w:t>
      </w:r>
      <w:r w:rsidRPr="00F84981">
        <w:t>vycházely přitom</w:t>
      </w:r>
      <w:r w:rsidR="008A3180">
        <w:t xml:space="preserve"> z </w:t>
      </w:r>
      <w:r w:rsidRPr="00F84981">
        <w:t>již existujících zdrojů</w:t>
      </w:r>
      <w:r w:rsidR="008A3180">
        <w:t xml:space="preserve"> a </w:t>
      </w:r>
      <w:r w:rsidRPr="00F84981">
        <w:t>platforem,</w:t>
      </w:r>
      <w:r w:rsidR="008A3180">
        <w:t xml:space="preserve"> a </w:t>
      </w:r>
      <w:r w:rsidRPr="00F84981">
        <w:t>zejména aby:</w:t>
      </w:r>
    </w:p>
    <w:p w:rsidR="00B7181F" w:rsidRPr="00F84981" w:rsidRDefault="00B7181F" w:rsidP="00B7181F">
      <w:pPr>
        <w:pStyle w:val="Pointabc2"/>
        <w:numPr>
          <w:ilvl w:val="5"/>
          <w:numId w:val="16"/>
        </w:numPr>
      </w:pPr>
      <w:r w:rsidRPr="00F84981">
        <w:t>se zasadily</w:t>
      </w:r>
      <w:r w:rsidR="008A3180">
        <w:t xml:space="preserve"> o </w:t>
      </w:r>
      <w:r w:rsidRPr="00F84981">
        <w:t>vytvoření evropského prostoru pro jazyková data jakožto evropské platformy pro výměny, která podnikatelům, investorům, výzkumným pracovníkům</w:t>
      </w:r>
      <w:r w:rsidR="008A3180">
        <w:t xml:space="preserve"> a </w:t>
      </w:r>
      <w:r w:rsidRPr="00F84981">
        <w:t>veřejným orgánům usnadní vytváření, shromažďování, (opětovné) používání</w:t>
      </w:r>
      <w:r w:rsidR="008A3180">
        <w:t xml:space="preserve"> a </w:t>
      </w:r>
      <w:r w:rsidRPr="00F84981">
        <w:t>sdílení jazykových zdrojů, nástrojů</w:t>
      </w:r>
      <w:r w:rsidR="008A3180">
        <w:t xml:space="preserve"> a </w:t>
      </w:r>
      <w:r w:rsidRPr="00F84981">
        <w:t>modelů</w:t>
      </w:r>
      <w:r w:rsidR="008A3180">
        <w:t xml:space="preserve"> v </w:t>
      </w:r>
      <w:r w:rsidRPr="00F84981">
        <w:t>plném souladu</w:t>
      </w:r>
      <w:r w:rsidR="008A3180">
        <w:t xml:space="preserve"> s </w:t>
      </w:r>
      <w:r w:rsidRPr="00F84981">
        <w:t>hodnotami EU, jako je ochrana soukromí, transparentnost</w:t>
      </w:r>
      <w:r w:rsidR="008A3180">
        <w:t xml:space="preserve"> a </w:t>
      </w:r>
      <w:r w:rsidRPr="00F84981">
        <w:t>důvěra;</w:t>
      </w:r>
    </w:p>
    <w:p w:rsidR="00B7181F" w:rsidRPr="00F84981" w:rsidRDefault="00B7181F" w:rsidP="00B7181F">
      <w:pPr>
        <w:pStyle w:val="Pointabc2"/>
        <w:numPr>
          <w:ilvl w:val="5"/>
          <w:numId w:val="16"/>
        </w:numPr>
      </w:pPr>
      <w:r w:rsidRPr="00F84981">
        <w:t>podporovaly vytváření mnohojazyčných terminologických databází</w:t>
      </w:r>
      <w:r w:rsidR="008A3180">
        <w:t xml:space="preserve"> a </w:t>
      </w:r>
      <w:r w:rsidRPr="00F84981">
        <w:t>zdrojů</w:t>
      </w:r>
      <w:r w:rsidR="008A3180">
        <w:t xml:space="preserve"> a </w:t>
      </w:r>
      <w:r w:rsidRPr="00F84981">
        <w:t>širší využívání stávajících platforem, jako je IATE, jakož</w:t>
      </w:r>
      <w:r w:rsidR="008A3180">
        <w:t xml:space="preserve"> i </w:t>
      </w:r>
      <w:r w:rsidRPr="00F84981">
        <w:t>evropské infrastruktury pro jazyky</w:t>
      </w:r>
      <w:r w:rsidR="008A3180">
        <w:t xml:space="preserve"> a </w:t>
      </w:r>
      <w:r w:rsidRPr="00F84981">
        <w:t>mnohojazyčnost, jako je CLARIN ERIC,</w:t>
      </w:r>
      <w:r w:rsidR="008A3180">
        <w:t xml:space="preserve"> s </w:t>
      </w:r>
      <w:r w:rsidRPr="00F84981">
        <w:t>cílem rozšířit shromažďování</w:t>
      </w:r>
      <w:r w:rsidR="008A3180">
        <w:t xml:space="preserve"> a </w:t>
      </w:r>
      <w:r w:rsidRPr="00F84981">
        <w:t>čištění digitálních dat týkajících se jazyka,</w:t>
      </w:r>
      <w:r w:rsidR="008A3180">
        <w:t xml:space="preserve"> a </w:t>
      </w:r>
      <w:r w:rsidRPr="00F84981">
        <w:t>to jak textových, tak orálních, jakož</w:t>
      </w:r>
      <w:r w:rsidR="008A3180">
        <w:t xml:space="preserve"> i </w:t>
      </w:r>
      <w:r w:rsidRPr="00F84981">
        <w:t>přístup</w:t>
      </w:r>
      <w:r w:rsidR="008A3180">
        <w:t xml:space="preserve"> k </w:t>
      </w:r>
      <w:r w:rsidRPr="00F84981">
        <w:t>těmto datům;</w:t>
      </w:r>
    </w:p>
    <w:p w:rsidR="00B7181F" w:rsidRPr="00F84981" w:rsidRDefault="00B7181F" w:rsidP="00B7181F">
      <w:pPr>
        <w:pStyle w:val="Pointabc2"/>
        <w:numPr>
          <w:ilvl w:val="5"/>
          <w:numId w:val="16"/>
        </w:numPr>
      </w:pPr>
      <w:r w:rsidRPr="00F84981">
        <w:br w:type="page"/>
        <w:t>podporovaly vývoj, používání</w:t>
      </w:r>
      <w:r w:rsidR="008A3180">
        <w:t xml:space="preserve"> a </w:t>
      </w:r>
      <w:r w:rsidRPr="00F84981">
        <w:t xml:space="preserve">případně monitorování automatizovaných překladatelských systémů, včetně služby </w:t>
      </w:r>
      <w:proofErr w:type="spellStart"/>
      <w:r w:rsidRPr="00F84981">
        <w:t>eTranslation</w:t>
      </w:r>
      <w:proofErr w:type="spellEnd"/>
      <w:r w:rsidRPr="00F84981">
        <w:t xml:space="preserve"> určené pro všechny úřední jazyky EU,</w:t>
      </w:r>
      <w:r w:rsidR="008A3180">
        <w:t xml:space="preserve"> a </w:t>
      </w:r>
      <w:r w:rsidRPr="00F84981">
        <w:t>dalších jazykových nástrojů</w:t>
      </w:r>
      <w:r w:rsidR="008A3180">
        <w:t xml:space="preserve"> na </w:t>
      </w:r>
      <w:r w:rsidRPr="00F84981">
        <w:t>evropské úrovni</w:t>
      </w:r>
      <w:r w:rsidR="008A3180">
        <w:t xml:space="preserve"> a </w:t>
      </w:r>
      <w:r w:rsidRPr="00F84981">
        <w:t>usilovaly přitom</w:t>
      </w:r>
      <w:r w:rsidR="008A3180">
        <w:t xml:space="preserve"> o </w:t>
      </w:r>
      <w:r w:rsidRPr="00F84981">
        <w:t xml:space="preserve">synergie se sítí pro koordinaci evropských jazykových zdrojů (ELRC), projektem </w:t>
      </w:r>
      <w:proofErr w:type="spellStart"/>
      <w:r w:rsidRPr="00F84981">
        <w:t>European</w:t>
      </w:r>
      <w:proofErr w:type="spellEnd"/>
      <w:r w:rsidRPr="00F84981">
        <w:t xml:space="preserve"> </w:t>
      </w:r>
      <w:proofErr w:type="spellStart"/>
      <w:r w:rsidRPr="00F84981">
        <w:t>Language</w:t>
      </w:r>
      <w:proofErr w:type="spellEnd"/>
      <w:r w:rsidRPr="00F84981">
        <w:t xml:space="preserve"> </w:t>
      </w:r>
      <w:proofErr w:type="spellStart"/>
      <w:r w:rsidRPr="00F84981">
        <w:t>Grid</w:t>
      </w:r>
      <w:proofErr w:type="spellEnd"/>
      <w:r w:rsidRPr="00F84981">
        <w:t xml:space="preserve"> (ELG)</w:t>
      </w:r>
      <w:r w:rsidR="008A3180">
        <w:t xml:space="preserve"> a </w:t>
      </w:r>
      <w:r w:rsidRPr="00F84981">
        <w:t>budoucím evropským prostorem pro jazyková data;</w:t>
      </w:r>
    </w:p>
    <w:p w:rsidR="00B7181F" w:rsidRPr="00F84981" w:rsidRDefault="00B7181F" w:rsidP="00B7181F">
      <w:pPr>
        <w:pStyle w:val="Pointabc2"/>
        <w:numPr>
          <w:ilvl w:val="5"/>
          <w:numId w:val="16"/>
        </w:numPr>
      </w:pPr>
      <w:r w:rsidRPr="00F84981">
        <w:t>podporovaly sbližování výzkumných</w:t>
      </w:r>
      <w:r w:rsidR="008A3180">
        <w:t xml:space="preserve"> a </w:t>
      </w:r>
      <w:r w:rsidRPr="00F84981">
        <w:t>inovačních programů</w:t>
      </w:r>
      <w:r w:rsidR="008A3180">
        <w:t xml:space="preserve"> a </w:t>
      </w:r>
      <w:r w:rsidRPr="00F84981">
        <w:t>určování oblastí použití</w:t>
      </w:r>
      <w:r w:rsidR="008A3180">
        <w:t xml:space="preserve"> a </w:t>
      </w:r>
      <w:r w:rsidRPr="00F84981">
        <w:t>lépe propojovaly výzkum</w:t>
      </w:r>
      <w:r w:rsidR="008A3180">
        <w:t xml:space="preserve"> s </w:t>
      </w:r>
      <w:r w:rsidRPr="00F84981">
        <w:t>potřebami podniků</w:t>
      </w:r>
      <w:r w:rsidR="008A3180">
        <w:t xml:space="preserve"> a </w:t>
      </w:r>
      <w:r w:rsidRPr="00F84981">
        <w:t>občanů</w:t>
      </w:r>
      <w:r w:rsidR="008A3180">
        <w:t xml:space="preserve"> v </w:t>
      </w:r>
      <w:r w:rsidRPr="00F84981">
        <w:t>oblasti jazykových technologií pro překlad</w:t>
      </w:r>
      <w:r w:rsidR="008A3180">
        <w:t xml:space="preserve"> a </w:t>
      </w:r>
      <w:r w:rsidRPr="00F84981">
        <w:t>mnohojazyčné</w:t>
      </w:r>
      <w:r w:rsidR="008A3180">
        <w:t xml:space="preserve"> a </w:t>
      </w:r>
      <w:r w:rsidRPr="00F84981">
        <w:t>analytické zpracování;</w:t>
      </w:r>
    </w:p>
    <w:p w:rsidR="00B7181F" w:rsidRPr="00F84981" w:rsidRDefault="00B7181F" w:rsidP="00B7181F">
      <w:pPr>
        <w:pStyle w:val="Pointabc2"/>
        <w:numPr>
          <w:ilvl w:val="5"/>
          <w:numId w:val="16"/>
        </w:numPr>
      </w:pPr>
      <w:r w:rsidRPr="00F84981">
        <w:t>zvyšovaly povědomí podniků</w:t>
      </w:r>
      <w:r w:rsidR="008A3180">
        <w:t xml:space="preserve"> o </w:t>
      </w:r>
      <w:r w:rsidRPr="00F84981">
        <w:t>výhodách využívání jazykových technologií ke komunikaci</w:t>
      </w:r>
      <w:r w:rsidR="008A3180">
        <w:t xml:space="preserve"> v </w:t>
      </w:r>
      <w:r w:rsidRPr="00F84981">
        <w:t>několika úředních jazycích EU;</w:t>
      </w:r>
    </w:p>
    <w:p w:rsidR="00B7181F" w:rsidRPr="00F84981" w:rsidRDefault="00B7181F" w:rsidP="00B7181F">
      <w:pPr>
        <w:pStyle w:val="Pointabc2"/>
        <w:numPr>
          <w:ilvl w:val="5"/>
          <w:numId w:val="16"/>
        </w:numPr>
      </w:pPr>
      <w:r w:rsidRPr="00F84981">
        <w:t>podporovaly větší zapojení profesionálních překladatelů</w:t>
      </w:r>
      <w:r w:rsidR="008A3180">
        <w:t xml:space="preserve"> do </w:t>
      </w:r>
      <w:r w:rsidRPr="00F84981">
        <w:t>rozvoje digitálních technologií</w:t>
      </w:r>
      <w:r w:rsidR="008A3180">
        <w:t xml:space="preserve"> v </w:t>
      </w:r>
      <w:r w:rsidRPr="00F84981">
        <w:t>oblasti překladu;</w:t>
      </w:r>
    </w:p>
    <w:p w:rsidR="00B7181F" w:rsidRPr="00F84981" w:rsidRDefault="00B7181F" w:rsidP="00B7181F">
      <w:pPr>
        <w:pStyle w:val="Point123"/>
        <w:numPr>
          <w:ilvl w:val="0"/>
          <w:numId w:val="35"/>
        </w:numPr>
        <w:tabs>
          <w:tab w:val="clear" w:pos="567"/>
          <w:tab w:val="num" w:pos="709"/>
        </w:tabs>
      </w:pPr>
      <w:r w:rsidRPr="00F84981">
        <w:t>podporovaly mnohojazyčný přístup</w:t>
      </w:r>
      <w:r w:rsidR="008A3180">
        <w:t xml:space="preserve"> k </w:t>
      </w:r>
      <w:r w:rsidRPr="00F84981">
        <w:t>digitalizovanému evropskému obsahu prostřednictvím nových technologií</w:t>
      </w:r>
      <w:r w:rsidR="008A3180">
        <w:t xml:space="preserve"> na </w:t>
      </w:r>
      <w:r w:rsidRPr="00F84981">
        <w:t>základě obohacování</w:t>
      </w:r>
      <w:r w:rsidR="008A3180">
        <w:t xml:space="preserve"> o </w:t>
      </w:r>
      <w:proofErr w:type="spellStart"/>
      <w:r w:rsidRPr="00F84981">
        <w:t>metadata</w:t>
      </w:r>
      <w:proofErr w:type="spellEnd"/>
      <w:r w:rsidR="008A3180">
        <w:t xml:space="preserve"> a </w:t>
      </w:r>
      <w:r w:rsidRPr="00F84981">
        <w:t>poskytování mnohojazyčných zkušeností, pokud jde</w:t>
      </w:r>
      <w:r w:rsidR="008A3180">
        <w:t xml:space="preserve"> o </w:t>
      </w:r>
      <w:r w:rsidRPr="00F84981">
        <w:t>redakční obsah</w:t>
      </w:r>
      <w:r w:rsidR="008A3180">
        <w:t xml:space="preserve"> a </w:t>
      </w:r>
      <w:r w:rsidRPr="00F84981">
        <w:t>uživatelská rozhraní;</w:t>
      </w:r>
      <w:r w:rsidR="008A3180">
        <w:t xml:space="preserve"> v </w:t>
      </w:r>
      <w:r w:rsidRPr="00F84981">
        <w:t>tomto ohledu aby navázaly</w:t>
      </w:r>
      <w:r w:rsidR="008A3180">
        <w:t xml:space="preserve"> na </w:t>
      </w:r>
      <w:r w:rsidRPr="00F84981">
        <w:t>výzkum</w:t>
      </w:r>
      <w:r w:rsidR="008A3180">
        <w:t xml:space="preserve"> a </w:t>
      </w:r>
      <w:r w:rsidRPr="00F84981">
        <w:t xml:space="preserve">činnost digitálních platforem, jako je </w:t>
      </w:r>
      <w:proofErr w:type="spellStart"/>
      <w:r w:rsidRPr="00F84981">
        <w:t>Europeana</w:t>
      </w:r>
      <w:proofErr w:type="spellEnd"/>
      <w:r w:rsidRPr="00F84981">
        <w:t>;</w:t>
      </w:r>
    </w:p>
    <w:p w:rsidR="00B7181F" w:rsidRPr="00F84981" w:rsidRDefault="00B7181F" w:rsidP="00B7181F">
      <w:pPr>
        <w:pStyle w:val="Point123"/>
        <w:numPr>
          <w:ilvl w:val="0"/>
          <w:numId w:val="35"/>
        </w:numPr>
        <w:tabs>
          <w:tab w:val="clear" w:pos="567"/>
          <w:tab w:val="num" w:pos="709"/>
        </w:tabs>
      </w:pPr>
      <w:r w:rsidRPr="00F84981">
        <w:t>vyměňovaly si osvědčené postupy</w:t>
      </w:r>
      <w:r w:rsidR="008A3180">
        <w:t xml:space="preserve"> a do </w:t>
      </w:r>
      <w:r w:rsidRPr="00F84981">
        <w:t>roku 2025 vyhodnotily provádění těchto závěrů.</w:t>
      </w:r>
    </w:p>
    <w:p w:rsidR="00B7181F" w:rsidRPr="00F84981" w:rsidRDefault="00B7181F" w:rsidP="00B7181F">
      <w:pPr>
        <w:pStyle w:val="FinalLine"/>
      </w:pPr>
    </w:p>
    <w:p w:rsidR="00B7181F" w:rsidRPr="00F84981" w:rsidRDefault="00B7181F" w:rsidP="00B7181F">
      <w:pPr>
        <w:pStyle w:val="Point123"/>
        <w:numPr>
          <w:ilvl w:val="0"/>
          <w:numId w:val="0"/>
        </w:numPr>
        <w:tabs>
          <w:tab w:val="left" w:pos="720"/>
        </w:tabs>
        <w:ind w:left="709"/>
        <w:jc w:val="both"/>
      </w:pPr>
    </w:p>
    <w:p w:rsidR="00B7181F" w:rsidRPr="00F84981" w:rsidRDefault="00B7181F" w:rsidP="00B7181F">
      <w:pPr>
        <w:sectPr w:rsidR="00B7181F" w:rsidRPr="00F84981" w:rsidSect="008A3180">
          <w:headerReference w:type="default" r:id="rId16"/>
          <w:footerReference w:type="default" r:id="rId17"/>
          <w:pgSz w:w="11907" w:h="16839"/>
          <w:pgMar w:top="1134" w:right="1134" w:bottom="1134" w:left="1134" w:header="567" w:footer="567" w:gutter="0"/>
          <w:cols w:space="720"/>
          <w:docGrid w:linePitch="326"/>
        </w:sectPr>
      </w:pPr>
    </w:p>
    <w:p w:rsidR="00B7181F" w:rsidRPr="00F84981" w:rsidRDefault="00B7181F" w:rsidP="00B7181F">
      <w:pPr>
        <w:pStyle w:val="Annex"/>
      </w:pPr>
      <w:r w:rsidRPr="00F84981">
        <w:t>PŘÍLOHA</w:t>
      </w:r>
      <w:r w:rsidR="008A3180">
        <w:t xml:space="preserve"> K </w:t>
      </w:r>
      <w:r w:rsidRPr="00F84981">
        <w:t>PŘÍLOZE</w:t>
      </w:r>
    </w:p>
    <w:p w:rsidR="00B7181F" w:rsidRPr="00F84981" w:rsidRDefault="00B7181F" w:rsidP="00B7181F">
      <w:pPr>
        <w:pStyle w:val="HeadingLeft"/>
      </w:pPr>
      <w:r w:rsidRPr="00F84981">
        <w:t>Související dokumenty</w:t>
      </w:r>
    </w:p>
    <w:p w:rsidR="00B7181F" w:rsidRPr="00F84981" w:rsidRDefault="00B7181F" w:rsidP="00B7181F">
      <w:pPr>
        <w:jc w:val="both"/>
        <w:rPr>
          <w:rFonts w:eastAsia="Calibri"/>
          <w:b/>
          <w:i/>
        </w:rPr>
      </w:pPr>
      <w:r w:rsidRPr="00F84981">
        <w:rPr>
          <w:b/>
          <w:i/>
        </w:rPr>
        <w:t>Smlouvy EU</w:t>
      </w:r>
    </w:p>
    <w:p w:rsidR="00B7181F" w:rsidRPr="00F84981" w:rsidRDefault="00B7181F" w:rsidP="00B7181F">
      <w:pPr>
        <w:jc w:val="both"/>
        <w:rPr>
          <w:rFonts w:eastAsia="Calibri"/>
        </w:rPr>
      </w:pPr>
      <w:r w:rsidRPr="00F84981">
        <w:t>Smlouva</w:t>
      </w:r>
      <w:r w:rsidR="008A3180">
        <w:t xml:space="preserve"> o </w:t>
      </w:r>
      <w:r w:rsidRPr="00F84981">
        <w:t>Evropské unii,</w:t>
      </w:r>
      <w:r w:rsidR="008A3180">
        <w:t xml:space="preserve"> a </w:t>
      </w:r>
      <w:r w:rsidRPr="00F84981">
        <w:t>zejména čl. 3 odst. 3: „[Unie] respektuje svou bohatou kulturní</w:t>
      </w:r>
      <w:r w:rsidR="008A3180">
        <w:t xml:space="preserve"> a </w:t>
      </w:r>
      <w:r w:rsidRPr="00F84981">
        <w:t>jazykovou rozmanitost</w:t>
      </w:r>
      <w:r w:rsidR="008A3180">
        <w:t xml:space="preserve"> a </w:t>
      </w:r>
      <w:r w:rsidRPr="00F84981">
        <w:t>dbá</w:t>
      </w:r>
      <w:r w:rsidR="008A3180">
        <w:t xml:space="preserve"> na </w:t>
      </w:r>
      <w:r w:rsidRPr="00F84981">
        <w:t>zachování</w:t>
      </w:r>
      <w:r w:rsidR="008A3180">
        <w:t xml:space="preserve"> a </w:t>
      </w:r>
      <w:r w:rsidRPr="00F84981">
        <w:t>rozvoj evropského kulturního dědictví.“</w:t>
      </w:r>
    </w:p>
    <w:p w:rsidR="00B7181F" w:rsidRPr="00F84981" w:rsidRDefault="00B7181F" w:rsidP="00B7181F">
      <w:pPr>
        <w:jc w:val="both"/>
        <w:rPr>
          <w:rFonts w:eastAsia="Calibri"/>
        </w:rPr>
      </w:pPr>
      <w:r w:rsidRPr="00F84981">
        <w:t>Smlouva</w:t>
      </w:r>
      <w:r w:rsidR="008A3180">
        <w:t xml:space="preserve"> o </w:t>
      </w:r>
      <w:r w:rsidRPr="00F84981">
        <w:t>fungování Evropské unie, zejména články 165, 166</w:t>
      </w:r>
      <w:r w:rsidR="008A3180">
        <w:t xml:space="preserve"> a </w:t>
      </w:r>
      <w:r w:rsidRPr="00F84981">
        <w:t>167, obzvláště pak čl. 167 odst. 4: „Unie ve své činnosti podle ostatních ustanovení Smluv přihlíží ke kulturním hlediskům, zejména</w:t>
      </w:r>
      <w:r w:rsidR="008A3180">
        <w:t xml:space="preserve"> s </w:t>
      </w:r>
      <w:r w:rsidRPr="00F84981">
        <w:t>cílem uznávat</w:t>
      </w:r>
      <w:r w:rsidR="008A3180">
        <w:t xml:space="preserve"> a </w:t>
      </w:r>
      <w:r w:rsidRPr="00F84981">
        <w:t>podporovat rozmanitost svých kultur.“</w:t>
      </w:r>
    </w:p>
    <w:p w:rsidR="00B7181F" w:rsidRPr="00F84981" w:rsidRDefault="00B7181F" w:rsidP="00B7181F">
      <w:pPr>
        <w:jc w:val="both"/>
        <w:rPr>
          <w:rFonts w:eastAsia="Calibri"/>
        </w:rPr>
      </w:pPr>
      <w:r w:rsidRPr="00F84981">
        <w:t>Listina základních práv, zejména článek 22: „Unie respektuje kulturní, náboženskou</w:t>
      </w:r>
      <w:r w:rsidR="008A3180">
        <w:t xml:space="preserve"> a </w:t>
      </w:r>
      <w:r w:rsidRPr="00F84981">
        <w:t>jazykovou rozmanitost.“</w:t>
      </w:r>
    </w:p>
    <w:p w:rsidR="00B7181F" w:rsidRPr="00F84981" w:rsidRDefault="00B7181F" w:rsidP="00B7181F">
      <w:pPr>
        <w:jc w:val="both"/>
        <w:rPr>
          <w:rFonts w:eastAsia="Calibri"/>
        </w:rPr>
      </w:pPr>
    </w:p>
    <w:p w:rsidR="00B7181F" w:rsidRPr="00F84981" w:rsidRDefault="00B7181F" w:rsidP="00B7181F">
      <w:pPr>
        <w:jc w:val="both"/>
        <w:rPr>
          <w:rFonts w:eastAsia="Calibri"/>
          <w:b/>
          <w:i/>
        </w:rPr>
      </w:pPr>
      <w:r w:rsidRPr="00F84981">
        <w:rPr>
          <w:b/>
          <w:i/>
        </w:rPr>
        <w:t>Evropská rada</w:t>
      </w:r>
    </w:p>
    <w:p w:rsidR="00B7181F" w:rsidRPr="00F84981" w:rsidRDefault="00B7181F" w:rsidP="008A3180">
      <w:pPr>
        <w:jc w:val="both"/>
        <w:rPr>
          <w:rFonts w:eastAsia="Calibri"/>
        </w:rPr>
      </w:pPr>
      <w:r w:rsidRPr="00F84981">
        <w:t>Závěry Evropské rady (14. prosince 2017) (EUCO 19/1/17 REV 1, část II, Vzdělávání</w:t>
      </w:r>
      <w:r w:rsidR="008A3180">
        <w:t xml:space="preserve"> a </w:t>
      </w:r>
      <w:r w:rsidRPr="00F84981">
        <w:t>kultura, 3.</w:t>
      </w:r>
      <w:r w:rsidR="008A3180">
        <w:t> </w:t>
      </w:r>
      <w:r w:rsidRPr="00F84981">
        <w:t>odst., s. 4)</w:t>
      </w:r>
      <w:r w:rsidRPr="008A3180">
        <w:rPr>
          <w:rFonts w:eastAsia="Calibri"/>
          <w:b/>
          <w:bCs/>
          <w:vertAlign w:val="superscript"/>
        </w:rPr>
        <w:footnoteReference w:id="12"/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  <w:b/>
          <w:i/>
        </w:rPr>
      </w:pPr>
      <w:r w:rsidRPr="00F84981">
        <w:rPr>
          <w:b/>
          <w:i/>
        </w:rPr>
        <w:br w:type="page"/>
        <w:t>Rada Evropské unie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Závěry Rady ze dne 22. května 2008</w:t>
      </w:r>
      <w:r w:rsidR="008A3180">
        <w:t xml:space="preserve"> o </w:t>
      </w:r>
      <w:r w:rsidRPr="00F84981">
        <w:t>mnohojazyčnosti (</w:t>
      </w:r>
      <w:proofErr w:type="spellStart"/>
      <w:r w:rsidRPr="00F84981">
        <w:t>Úř</w:t>
      </w:r>
      <w:proofErr w:type="spellEnd"/>
      <w:r w:rsidRPr="00F84981">
        <w:t xml:space="preserve">. </w:t>
      </w:r>
      <w:proofErr w:type="spellStart"/>
      <w:r w:rsidRPr="00F84981">
        <w:t>věst</w:t>
      </w:r>
      <w:proofErr w:type="spellEnd"/>
      <w:r w:rsidRPr="00F84981">
        <w:t>. C 140/14, 6.6.2008, s. 1)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Závěry Rady ze dne 22. května 2008</w:t>
      </w:r>
      <w:r w:rsidR="008A3180">
        <w:t xml:space="preserve"> o </w:t>
      </w:r>
      <w:r w:rsidRPr="00F84981">
        <w:t>mezikulturních kompetencích (</w:t>
      </w:r>
      <w:proofErr w:type="spellStart"/>
      <w:r w:rsidRPr="00F84981">
        <w:t>Úř</w:t>
      </w:r>
      <w:proofErr w:type="spellEnd"/>
      <w:r w:rsidRPr="00F84981">
        <w:t xml:space="preserve">. </w:t>
      </w:r>
      <w:proofErr w:type="spellStart"/>
      <w:r w:rsidRPr="00F84981">
        <w:t>věst</w:t>
      </w:r>
      <w:proofErr w:type="spellEnd"/>
      <w:r w:rsidRPr="00F84981">
        <w:t>. C 141, 7.6.2008, s.</w:t>
      </w:r>
      <w:r w:rsidR="008A3180">
        <w:t> </w:t>
      </w:r>
      <w:r w:rsidRPr="00F84981">
        <w:t>14)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Usnesení Rady</w:t>
      </w:r>
      <w:r w:rsidR="008A3180">
        <w:t xml:space="preserve"> o </w:t>
      </w:r>
      <w:r w:rsidRPr="00F84981">
        <w:t>evropské strategii pro mnohojazyčnost (</w:t>
      </w:r>
      <w:proofErr w:type="spellStart"/>
      <w:r w:rsidRPr="00F84981">
        <w:t>Úř</w:t>
      </w:r>
      <w:proofErr w:type="spellEnd"/>
      <w:r w:rsidRPr="00F84981">
        <w:t>. </w:t>
      </w:r>
      <w:proofErr w:type="spellStart"/>
      <w:r w:rsidRPr="00F84981">
        <w:t>věst</w:t>
      </w:r>
      <w:proofErr w:type="spellEnd"/>
      <w:r w:rsidRPr="00F84981">
        <w:t>. C 320, 16.12.2008, s. 1)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Závěry Rady</w:t>
      </w:r>
      <w:r w:rsidR="008A3180">
        <w:t xml:space="preserve"> o </w:t>
      </w:r>
      <w:r w:rsidRPr="00F84981">
        <w:t>informačních službách zaměřených</w:t>
      </w:r>
      <w:r w:rsidR="008A3180">
        <w:t xml:space="preserve"> na </w:t>
      </w:r>
      <w:r w:rsidRPr="00F84981">
        <w:t>mobilitu</w:t>
      </w:r>
      <w:r w:rsidR="008A3180">
        <w:t xml:space="preserve"> a </w:t>
      </w:r>
      <w:r w:rsidRPr="00F84981">
        <w:t>určených umělcům</w:t>
      </w:r>
      <w:r w:rsidR="008A3180">
        <w:t xml:space="preserve"> a </w:t>
      </w:r>
      <w:r w:rsidRPr="00F84981">
        <w:t>kulturním pracovníkům (</w:t>
      </w:r>
      <w:proofErr w:type="spellStart"/>
      <w:r w:rsidRPr="00F84981">
        <w:t>Úř</w:t>
      </w:r>
      <w:proofErr w:type="spellEnd"/>
      <w:r w:rsidRPr="00F84981">
        <w:t xml:space="preserve">. </w:t>
      </w:r>
      <w:proofErr w:type="spellStart"/>
      <w:r w:rsidRPr="00F84981">
        <w:t>věst</w:t>
      </w:r>
      <w:proofErr w:type="spellEnd"/>
      <w:r w:rsidRPr="00F84981">
        <w:t>. C 175, 15.6.2011, s. 5)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Závěry Rady</w:t>
      </w:r>
      <w:r w:rsidR="008A3180">
        <w:t xml:space="preserve"> o </w:t>
      </w:r>
      <w:r w:rsidRPr="00F84981">
        <w:t>jazykových znalostech pro zlepšení mobility (</w:t>
      </w:r>
      <w:proofErr w:type="spellStart"/>
      <w:r w:rsidRPr="00F84981">
        <w:t>Úř</w:t>
      </w:r>
      <w:proofErr w:type="spellEnd"/>
      <w:r w:rsidRPr="00F84981">
        <w:t>. </w:t>
      </w:r>
      <w:proofErr w:type="spellStart"/>
      <w:r w:rsidRPr="00F84981">
        <w:t>věst</w:t>
      </w:r>
      <w:proofErr w:type="spellEnd"/>
      <w:r w:rsidRPr="00F84981">
        <w:t>. C 372, 20.12.2011, s. 27)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Závěry Rady</w:t>
      </w:r>
      <w:r w:rsidR="008A3180">
        <w:t xml:space="preserve"> o </w:t>
      </w:r>
      <w:r w:rsidRPr="00F84981">
        <w:t>mnohojazyčnosti</w:t>
      </w:r>
      <w:r w:rsidR="008A3180">
        <w:t xml:space="preserve"> a </w:t>
      </w:r>
      <w:r w:rsidRPr="00F84981">
        <w:t>rozvoji jazykových kompetencí (</w:t>
      </w:r>
      <w:proofErr w:type="spellStart"/>
      <w:r w:rsidRPr="00F84981">
        <w:t>Úř</w:t>
      </w:r>
      <w:proofErr w:type="spellEnd"/>
      <w:r w:rsidRPr="00F84981">
        <w:t>. </w:t>
      </w:r>
      <w:proofErr w:type="spellStart"/>
      <w:r w:rsidRPr="00F84981">
        <w:t>věst</w:t>
      </w:r>
      <w:proofErr w:type="spellEnd"/>
      <w:r w:rsidRPr="00F84981">
        <w:t>. C 183, 14.6.2014, s. 26)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Závěry Rady</w:t>
      </w:r>
      <w:r w:rsidR="008A3180">
        <w:t xml:space="preserve"> o </w:t>
      </w:r>
      <w:r w:rsidRPr="00F84981">
        <w:t>pracovním plánu pro kulturu (2019–2022) (</w:t>
      </w:r>
      <w:proofErr w:type="spellStart"/>
      <w:r w:rsidRPr="00F84981">
        <w:t>Úř</w:t>
      </w:r>
      <w:proofErr w:type="spellEnd"/>
      <w:r w:rsidRPr="00F84981">
        <w:t>. </w:t>
      </w:r>
      <w:proofErr w:type="spellStart"/>
      <w:r w:rsidRPr="00F84981">
        <w:t>věst</w:t>
      </w:r>
      <w:proofErr w:type="spellEnd"/>
      <w:r w:rsidRPr="00F84981">
        <w:t>. C 460, 21.12.2018, s. 12)</w:t>
      </w:r>
    </w:p>
    <w:p w:rsidR="00B7181F" w:rsidRPr="00F84981" w:rsidRDefault="00B7181F" w:rsidP="008A3180">
      <w:pPr>
        <w:spacing w:line="336" w:lineRule="auto"/>
        <w:jc w:val="both"/>
        <w:rPr>
          <w:rFonts w:eastAsia="Times New Roman"/>
          <w:bCs/>
          <w:szCs w:val="24"/>
        </w:rPr>
      </w:pPr>
      <w:r w:rsidRPr="00F84981">
        <w:t>Doporučení Rady ze dne 22. května 2019</w:t>
      </w:r>
      <w:r w:rsidR="008A3180">
        <w:t xml:space="preserve"> o </w:t>
      </w:r>
      <w:r w:rsidRPr="00F84981">
        <w:t>komplexním přístupu</w:t>
      </w:r>
      <w:r w:rsidR="008A3180">
        <w:t xml:space="preserve"> k </w:t>
      </w:r>
      <w:r w:rsidRPr="00F84981">
        <w:t>výuce</w:t>
      </w:r>
      <w:r w:rsidR="008A3180">
        <w:t xml:space="preserve"> a </w:t>
      </w:r>
      <w:r w:rsidRPr="00F84981">
        <w:t>studiu jazyků (</w:t>
      </w:r>
      <w:proofErr w:type="spellStart"/>
      <w:r w:rsidRPr="00F84981">
        <w:t>Úř</w:t>
      </w:r>
      <w:proofErr w:type="spellEnd"/>
      <w:r w:rsidRPr="00F84981">
        <w:t>. </w:t>
      </w:r>
      <w:proofErr w:type="spellStart"/>
      <w:r w:rsidRPr="00F84981">
        <w:t>věst</w:t>
      </w:r>
      <w:proofErr w:type="spellEnd"/>
      <w:r w:rsidRPr="00F84981">
        <w:t>. C 189, 5.6.2019, s. 15)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  <w:bCs/>
        </w:rPr>
      </w:pPr>
      <w:r w:rsidRPr="00F84981">
        <w:t>Závěry Rady</w:t>
      </w:r>
      <w:r w:rsidR="008A3180">
        <w:t xml:space="preserve"> o </w:t>
      </w:r>
      <w:r w:rsidRPr="00F84981">
        <w:t>oživení, odolnosti</w:t>
      </w:r>
      <w:r w:rsidR="008A3180">
        <w:t xml:space="preserve"> a </w:t>
      </w:r>
      <w:r w:rsidRPr="00F84981">
        <w:t>udržitelnosti kulturního</w:t>
      </w:r>
      <w:r w:rsidR="008A3180">
        <w:t xml:space="preserve"> a </w:t>
      </w:r>
      <w:r w:rsidRPr="00F84981">
        <w:t>kreativního odvětví (</w:t>
      </w:r>
      <w:proofErr w:type="spellStart"/>
      <w:r w:rsidRPr="00F84981">
        <w:t>Úř</w:t>
      </w:r>
      <w:proofErr w:type="spellEnd"/>
      <w:r w:rsidRPr="00F84981">
        <w:t xml:space="preserve">. </w:t>
      </w:r>
      <w:proofErr w:type="spellStart"/>
      <w:r w:rsidRPr="00F84981">
        <w:t>věst</w:t>
      </w:r>
      <w:proofErr w:type="spellEnd"/>
      <w:r w:rsidRPr="00F84981">
        <w:t>. C 209, 2.6.2021, s. 3)</w:t>
      </w:r>
    </w:p>
    <w:p w:rsidR="00B7181F" w:rsidRPr="00F84981" w:rsidRDefault="00B7181F" w:rsidP="008A3180">
      <w:pPr>
        <w:spacing w:line="336" w:lineRule="auto"/>
        <w:jc w:val="both"/>
        <w:rPr>
          <w:rFonts w:eastAsia="Times New Roman"/>
          <w:bCs/>
          <w:szCs w:val="24"/>
        </w:rPr>
      </w:pPr>
    </w:p>
    <w:p w:rsidR="00B7181F" w:rsidRPr="00F84981" w:rsidRDefault="00B7181F" w:rsidP="008A3180">
      <w:pPr>
        <w:spacing w:line="336" w:lineRule="auto"/>
        <w:jc w:val="both"/>
        <w:rPr>
          <w:rFonts w:eastAsia="Calibri"/>
          <w:b/>
          <w:i/>
        </w:rPr>
      </w:pPr>
      <w:r w:rsidRPr="00F84981">
        <w:rPr>
          <w:b/>
          <w:i/>
        </w:rPr>
        <w:t>Skupiny odborníků pro otevřenou metodu koordinace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proofErr w:type="spellStart"/>
      <w:r w:rsidRPr="00F84981">
        <w:rPr>
          <w:i/>
          <w:iCs/>
        </w:rPr>
        <w:t>Policy</w:t>
      </w:r>
      <w:proofErr w:type="spellEnd"/>
      <w:r w:rsidRPr="00F84981">
        <w:rPr>
          <w:i/>
          <w:iCs/>
        </w:rPr>
        <w:t xml:space="preserve"> report </w:t>
      </w:r>
      <w:proofErr w:type="spellStart"/>
      <w:r w:rsidRPr="00F84981">
        <w:rPr>
          <w:i/>
          <w:iCs/>
        </w:rPr>
        <w:t>proposing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five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key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principles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for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building</w:t>
      </w:r>
      <w:proofErr w:type="spellEnd"/>
      <w:r w:rsidRPr="00F84981">
        <w:rPr>
          <w:i/>
          <w:iCs/>
        </w:rPr>
        <w:t xml:space="preserve"> and </w:t>
      </w:r>
      <w:proofErr w:type="spellStart"/>
      <w:r w:rsidRPr="00F84981">
        <w:rPr>
          <w:i/>
          <w:iCs/>
        </w:rPr>
        <w:t>maintaining</w:t>
      </w:r>
      <w:proofErr w:type="spellEnd"/>
      <w:r w:rsidR="008A3180">
        <w:rPr>
          <w:i/>
          <w:iCs/>
        </w:rPr>
        <w:t xml:space="preserve"> a </w:t>
      </w:r>
      <w:proofErr w:type="spellStart"/>
      <w:r w:rsidRPr="00F84981">
        <w:rPr>
          <w:i/>
          <w:iCs/>
        </w:rPr>
        <w:t>strong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framework</w:t>
      </w:r>
      <w:proofErr w:type="spellEnd"/>
      <w:r w:rsidRPr="00F84981">
        <w:rPr>
          <w:i/>
          <w:iCs/>
        </w:rPr>
        <w:t xml:space="preserve"> to support </w:t>
      </w:r>
      <w:proofErr w:type="spellStart"/>
      <w:r w:rsidRPr="00F84981">
        <w:rPr>
          <w:i/>
          <w:iCs/>
        </w:rPr>
        <w:t>the</w:t>
      </w:r>
      <w:proofErr w:type="spellEnd"/>
      <w:r w:rsidRPr="00F84981">
        <w:rPr>
          <w:i/>
          <w:iCs/>
        </w:rPr>
        <w:t xml:space="preserve"> mobility </w:t>
      </w:r>
      <w:proofErr w:type="spellStart"/>
      <w:r w:rsidRPr="00F84981">
        <w:rPr>
          <w:i/>
          <w:iCs/>
        </w:rPr>
        <w:t>of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artists</w:t>
      </w:r>
      <w:proofErr w:type="spellEnd"/>
      <w:r w:rsidRPr="00F84981">
        <w:rPr>
          <w:i/>
          <w:iCs/>
        </w:rPr>
        <w:t xml:space="preserve"> and </w:t>
      </w:r>
      <w:proofErr w:type="spellStart"/>
      <w:r w:rsidRPr="00F84981">
        <w:rPr>
          <w:i/>
          <w:iCs/>
        </w:rPr>
        <w:t>cultural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professionals</w:t>
      </w:r>
      <w:proofErr w:type="spellEnd"/>
      <w:r w:rsidRPr="00F84981">
        <w:t xml:space="preserve"> (Zpráva</w:t>
      </w:r>
      <w:r w:rsidR="008A3180">
        <w:t xml:space="preserve"> o </w:t>
      </w:r>
      <w:r w:rsidRPr="00F84981">
        <w:t>politice navrhující pět klíčových zásad pro budování</w:t>
      </w:r>
      <w:r w:rsidR="008A3180">
        <w:t xml:space="preserve"> a </w:t>
      </w:r>
      <w:r w:rsidRPr="00F84981">
        <w:t>udržování pevného rámce</w:t>
      </w:r>
      <w:r w:rsidR="008A3180">
        <w:t xml:space="preserve"> na </w:t>
      </w:r>
      <w:r w:rsidRPr="00F84981">
        <w:t>podporu mobility umělců</w:t>
      </w:r>
      <w:r w:rsidR="008A3180">
        <w:t xml:space="preserve"> a </w:t>
      </w:r>
      <w:r w:rsidRPr="00F84981">
        <w:t>kulturních pracovníků) (2012)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t>Příručka pravidel pro rezidenční pobyty umělců (2014)</w:t>
      </w:r>
    </w:p>
    <w:p w:rsidR="00B7181F" w:rsidRPr="00F84981" w:rsidRDefault="00B7181F" w:rsidP="008A3180">
      <w:pPr>
        <w:spacing w:line="336" w:lineRule="auto"/>
        <w:jc w:val="both"/>
        <w:rPr>
          <w:rFonts w:eastAsia="Calibri"/>
        </w:rPr>
      </w:pPr>
      <w:r w:rsidRPr="00F84981">
        <w:rPr>
          <w:i/>
          <w:iCs/>
        </w:rPr>
        <w:t>„</w:t>
      </w:r>
      <w:proofErr w:type="spellStart"/>
      <w:r w:rsidRPr="00F84981">
        <w:rPr>
          <w:i/>
          <w:iCs/>
        </w:rPr>
        <w:t>Translators</w:t>
      </w:r>
      <w:proofErr w:type="spellEnd"/>
      <w:r w:rsidRPr="00F84981">
        <w:rPr>
          <w:i/>
          <w:iCs/>
        </w:rPr>
        <w:t xml:space="preserve"> on </w:t>
      </w:r>
      <w:proofErr w:type="spellStart"/>
      <w:r w:rsidRPr="00F84981">
        <w:rPr>
          <w:i/>
          <w:iCs/>
        </w:rPr>
        <w:t>the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cover</w:t>
      </w:r>
      <w:proofErr w:type="spellEnd"/>
      <w:r w:rsidRPr="00F84981">
        <w:rPr>
          <w:i/>
          <w:iCs/>
        </w:rPr>
        <w:t>“:</w:t>
      </w:r>
      <w:r w:rsidRPr="00F84981">
        <w:t>(„Zaměřeno</w:t>
      </w:r>
      <w:r w:rsidR="008A3180">
        <w:t xml:space="preserve"> na </w:t>
      </w:r>
      <w:r w:rsidRPr="00F84981">
        <w:t>překladatele“)</w:t>
      </w:r>
      <w:r w:rsidRPr="00F84981">
        <w:rPr>
          <w:i/>
        </w:rPr>
        <w:t xml:space="preserve"> </w:t>
      </w:r>
      <w:r w:rsidRPr="00F84981">
        <w:rPr>
          <w:i/>
          <w:iCs/>
        </w:rPr>
        <w:t xml:space="preserve">Report </w:t>
      </w:r>
      <w:proofErr w:type="spellStart"/>
      <w:r w:rsidRPr="00F84981">
        <w:rPr>
          <w:i/>
          <w:iCs/>
        </w:rPr>
        <w:t>of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the</w:t>
      </w:r>
      <w:proofErr w:type="spellEnd"/>
      <w:r w:rsidRPr="00F84981">
        <w:rPr>
          <w:i/>
          <w:iCs/>
        </w:rPr>
        <w:t xml:space="preserve"> Open </w:t>
      </w:r>
      <w:proofErr w:type="spellStart"/>
      <w:r w:rsidRPr="00F84981">
        <w:rPr>
          <w:i/>
          <w:iCs/>
        </w:rPr>
        <w:t>Method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of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Coordination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working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group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of</w:t>
      </w:r>
      <w:proofErr w:type="spellEnd"/>
      <w:r w:rsidRPr="00F84981">
        <w:rPr>
          <w:i/>
          <w:iCs/>
        </w:rPr>
        <w:t xml:space="preserve"> EU </w:t>
      </w:r>
      <w:proofErr w:type="spellStart"/>
      <w:r w:rsidRPr="00F84981">
        <w:rPr>
          <w:i/>
          <w:iCs/>
        </w:rPr>
        <w:t>Member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States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experts</w:t>
      </w:r>
      <w:proofErr w:type="spellEnd"/>
      <w:r w:rsidRPr="00F84981">
        <w:rPr>
          <w:i/>
          <w:iCs/>
        </w:rPr>
        <w:t xml:space="preserve"> on </w:t>
      </w:r>
      <w:proofErr w:type="spellStart"/>
      <w:r w:rsidRPr="00F84981">
        <w:rPr>
          <w:i/>
          <w:iCs/>
        </w:rPr>
        <w:t>Multilingualism</w:t>
      </w:r>
      <w:proofErr w:type="spellEnd"/>
      <w:r w:rsidRPr="00F84981">
        <w:rPr>
          <w:i/>
          <w:iCs/>
        </w:rPr>
        <w:t xml:space="preserve"> &amp; </w:t>
      </w:r>
      <w:proofErr w:type="spellStart"/>
      <w:r w:rsidRPr="00F84981">
        <w:rPr>
          <w:i/>
          <w:iCs/>
        </w:rPr>
        <w:t>Translation</w:t>
      </w:r>
      <w:proofErr w:type="spellEnd"/>
      <w:r w:rsidRPr="00F84981">
        <w:t xml:space="preserve"> (Zpráva pracovní skupiny pro otevřenou metodu koordinace složené</w:t>
      </w:r>
      <w:r w:rsidR="008A3180">
        <w:t xml:space="preserve"> z </w:t>
      </w:r>
      <w:r w:rsidRPr="00F84981">
        <w:t>odborníků</w:t>
      </w:r>
      <w:r w:rsidR="008A3180">
        <w:t xml:space="preserve"> z </w:t>
      </w:r>
      <w:r w:rsidRPr="00F84981">
        <w:t>členských států EU</w:t>
      </w:r>
      <w:r w:rsidR="008A3180">
        <w:t xml:space="preserve"> v </w:t>
      </w:r>
      <w:r w:rsidRPr="00F84981">
        <w:t>oblasti mnohojazyčnosti</w:t>
      </w:r>
      <w:r w:rsidR="008A3180">
        <w:t xml:space="preserve"> a </w:t>
      </w:r>
      <w:r w:rsidRPr="00F84981">
        <w:t>překladů) (2022)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/>
          <w:i/>
        </w:rPr>
      </w:pPr>
      <w:r w:rsidRPr="00F84981">
        <w:rPr>
          <w:b/>
          <w:i/>
        </w:rPr>
        <w:br w:type="page"/>
        <w:t>Evropská komise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</w:rPr>
      </w:pPr>
      <w:r w:rsidRPr="00F84981">
        <w:t>Mnohojazyčnost: přínos pro Evropu</w:t>
      </w:r>
      <w:r w:rsidR="008A3180">
        <w:t xml:space="preserve"> i </w:t>
      </w:r>
      <w:r w:rsidRPr="00F84981">
        <w:t xml:space="preserve">společný závazek (COM(2008) 566 </w:t>
      </w:r>
      <w:proofErr w:type="spellStart"/>
      <w:r w:rsidRPr="00F84981">
        <w:t>final</w:t>
      </w:r>
      <w:proofErr w:type="spellEnd"/>
      <w:r w:rsidRPr="00F84981">
        <w:t>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</w:rPr>
      </w:pPr>
      <w:proofErr w:type="spellStart"/>
      <w:r w:rsidRPr="00F84981">
        <w:rPr>
          <w:i/>
          <w:iCs/>
        </w:rPr>
        <w:t>Guidelines</w:t>
      </w:r>
      <w:proofErr w:type="spellEnd"/>
      <w:r w:rsidRPr="00F84981">
        <w:rPr>
          <w:i/>
          <w:iCs/>
        </w:rPr>
        <w:t xml:space="preserve"> (Mobility </w:t>
      </w:r>
      <w:proofErr w:type="spellStart"/>
      <w:r w:rsidRPr="00F84981">
        <w:rPr>
          <w:i/>
          <w:iCs/>
        </w:rPr>
        <w:t>Information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Standards</w:t>
      </w:r>
      <w:proofErr w:type="spellEnd"/>
      <w:r w:rsidRPr="00F84981">
        <w:rPr>
          <w:i/>
          <w:iCs/>
        </w:rPr>
        <w:t xml:space="preserve">) on </w:t>
      </w:r>
      <w:proofErr w:type="spellStart"/>
      <w:r w:rsidRPr="00F84981">
        <w:rPr>
          <w:i/>
          <w:iCs/>
        </w:rPr>
        <w:t>quality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standards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for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establishing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information</w:t>
      </w:r>
      <w:proofErr w:type="spellEnd"/>
      <w:r w:rsidRPr="00F84981">
        <w:rPr>
          <w:i/>
          <w:iCs/>
        </w:rPr>
        <w:t xml:space="preserve"> and </w:t>
      </w:r>
      <w:proofErr w:type="spellStart"/>
      <w:r w:rsidRPr="00F84981">
        <w:rPr>
          <w:i/>
          <w:iCs/>
        </w:rPr>
        <w:t>advisory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services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for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artists</w:t>
      </w:r>
      <w:proofErr w:type="spellEnd"/>
      <w:r w:rsidRPr="00F84981">
        <w:rPr>
          <w:i/>
          <w:iCs/>
        </w:rPr>
        <w:t xml:space="preserve"> and </w:t>
      </w:r>
      <w:proofErr w:type="spellStart"/>
      <w:r w:rsidRPr="00F84981">
        <w:rPr>
          <w:i/>
          <w:iCs/>
        </w:rPr>
        <w:t>culture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professionals</w:t>
      </w:r>
      <w:proofErr w:type="spellEnd"/>
      <w:r w:rsidRPr="00F84981">
        <w:rPr>
          <w:i/>
          <w:iCs/>
        </w:rPr>
        <w:t xml:space="preserve">, </w:t>
      </w:r>
      <w:proofErr w:type="spellStart"/>
      <w:r w:rsidRPr="00F84981">
        <w:rPr>
          <w:i/>
          <w:iCs/>
        </w:rPr>
        <w:t>issued</w:t>
      </w:r>
      <w:proofErr w:type="spellEnd"/>
      <w:r w:rsidRPr="00F84981">
        <w:rPr>
          <w:i/>
          <w:iCs/>
        </w:rPr>
        <w:t xml:space="preserve"> by </w:t>
      </w:r>
      <w:proofErr w:type="spellStart"/>
      <w:r w:rsidRPr="00F84981">
        <w:rPr>
          <w:i/>
          <w:iCs/>
        </w:rPr>
        <w:t>the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working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group</w:t>
      </w:r>
      <w:proofErr w:type="spellEnd"/>
      <w:r w:rsidRPr="00F84981">
        <w:t xml:space="preserve"> (Pokyny (normy pro poskytování informací</w:t>
      </w:r>
      <w:r w:rsidR="008A3180">
        <w:t xml:space="preserve"> o </w:t>
      </w:r>
      <w:r w:rsidRPr="00F84981">
        <w:t>mobilitě) týkající se norem kvality pro zavedení informačních</w:t>
      </w:r>
      <w:r w:rsidR="008A3180">
        <w:t xml:space="preserve"> a </w:t>
      </w:r>
      <w:r w:rsidRPr="00F84981">
        <w:t>poradenských služeb pro umělce</w:t>
      </w:r>
      <w:r w:rsidR="008A3180">
        <w:t xml:space="preserve"> a </w:t>
      </w:r>
      <w:r w:rsidRPr="00F84981">
        <w:t>kulturní pracovníky, vydané pracovní skupinou) (2011)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</w:rPr>
      </w:pPr>
      <w:r w:rsidRPr="00F84981">
        <w:t xml:space="preserve">Nová evropská agenda pro kulturu (COM(2018) 267 </w:t>
      </w:r>
      <w:proofErr w:type="spellStart"/>
      <w:r w:rsidRPr="00F84981">
        <w:t>final</w:t>
      </w:r>
      <w:proofErr w:type="spellEnd"/>
      <w:r w:rsidRPr="00F84981">
        <w:t>)</w:t>
      </w:r>
      <w:r w:rsidRPr="008A3180">
        <w:rPr>
          <w:rFonts w:eastAsia="Calibri"/>
          <w:b/>
          <w:bCs/>
          <w:vertAlign w:val="superscript"/>
        </w:rPr>
        <w:footnoteReference w:id="13"/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/>
        </w:rPr>
      </w:pPr>
      <w:r w:rsidRPr="00F84981">
        <w:t>Doporučení ke společnému evropskému datovému prostoru pro kulturní dědictví (</w:t>
      </w:r>
      <w:proofErr w:type="spellStart"/>
      <w:r w:rsidRPr="00F84981">
        <w:t>Úř</w:t>
      </w:r>
      <w:proofErr w:type="spellEnd"/>
      <w:r w:rsidRPr="00F84981">
        <w:t>. </w:t>
      </w:r>
      <w:proofErr w:type="spellStart"/>
      <w:r w:rsidRPr="00F84981">
        <w:t>věst</w:t>
      </w:r>
      <w:proofErr w:type="spellEnd"/>
      <w:r w:rsidRPr="00F84981">
        <w:t>. L 401, 12.11.2021, s. 5–16)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/>
          <w:i/>
        </w:rPr>
      </w:pPr>
      <w:r w:rsidRPr="00F84981">
        <w:rPr>
          <w:b/>
          <w:i/>
        </w:rPr>
        <w:t>Strukturovaný dialog</w:t>
      </w:r>
      <w:r w:rsidRPr="00F84981">
        <w:rPr>
          <w:b/>
        </w:rPr>
        <w:t xml:space="preserve"> </w:t>
      </w:r>
      <w:r w:rsidRPr="00F84981">
        <w:rPr>
          <w:b/>
          <w:i/>
        </w:rPr>
        <w:t>„</w:t>
      </w:r>
      <w:proofErr w:type="spellStart"/>
      <w:r w:rsidRPr="00F84981">
        <w:rPr>
          <w:b/>
          <w:i/>
        </w:rPr>
        <w:t>Voices</w:t>
      </w:r>
      <w:proofErr w:type="spellEnd"/>
      <w:r w:rsidRPr="00F84981">
        <w:rPr>
          <w:b/>
          <w:i/>
        </w:rPr>
        <w:t xml:space="preserve"> </w:t>
      </w:r>
      <w:proofErr w:type="spellStart"/>
      <w:r w:rsidRPr="00F84981">
        <w:rPr>
          <w:b/>
          <w:i/>
        </w:rPr>
        <w:t>of</w:t>
      </w:r>
      <w:proofErr w:type="spellEnd"/>
      <w:r w:rsidRPr="00F84981">
        <w:rPr>
          <w:b/>
          <w:i/>
        </w:rPr>
        <w:t xml:space="preserve"> </w:t>
      </w:r>
      <w:proofErr w:type="spellStart"/>
      <w:r w:rsidRPr="00F84981">
        <w:rPr>
          <w:b/>
          <w:i/>
        </w:rPr>
        <w:t>Culture</w:t>
      </w:r>
      <w:proofErr w:type="spellEnd"/>
      <w:r w:rsidRPr="00F84981">
        <w:rPr>
          <w:b/>
          <w:i/>
        </w:rPr>
        <w:t>“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</w:rPr>
      </w:pPr>
      <w:r w:rsidRPr="00F84981">
        <w:t>Zpráva</w:t>
      </w:r>
      <w:r w:rsidR="008A3180">
        <w:t xml:space="preserve"> o </w:t>
      </w:r>
      <w:r w:rsidRPr="00F84981">
        <w:t xml:space="preserve">výstupech skupinových diskusí během akce </w:t>
      </w:r>
      <w:r w:rsidRPr="00F84981">
        <w:rPr>
          <w:i/>
          <w:iCs/>
        </w:rPr>
        <w:t>„</w:t>
      </w:r>
      <w:proofErr w:type="spellStart"/>
      <w:r w:rsidRPr="00F84981">
        <w:rPr>
          <w:i/>
          <w:iCs/>
        </w:rPr>
        <w:t>Voices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of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Culture</w:t>
      </w:r>
      <w:proofErr w:type="spellEnd"/>
      <w:r w:rsidRPr="00F84981">
        <w:rPr>
          <w:i/>
          <w:iCs/>
        </w:rPr>
        <w:t>“: „</w:t>
      </w:r>
      <w:proofErr w:type="spellStart"/>
      <w:r w:rsidRPr="00F84981">
        <w:rPr>
          <w:i/>
          <w:iCs/>
        </w:rPr>
        <w:t>Culture</w:t>
      </w:r>
      <w:proofErr w:type="spellEnd"/>
      <w:r w:rsidRPr="00F84981">
        <w:rPr>
          <w:i/>
          <w:iCs/>
        </w:rPr>
        <w:t xml:space="preserve"> and </w:t>
      </w:r>
      <w:proofErr w:type="spellStart"/>
      <w:r w:rsidRPr="00F84981">
        <w:rPr>
          <w:i/>
          <w:iCs/>
        </w:rPr>
        <w:t>the</w:t>
      </w:r>
      <w:proofErr w:type="spellEnd"/>
      <w:r w:rsidRPr="00F84981">
        <w:rPr>
          <w:i/>
          <w:iCs/>
        </w:rPr>
        <w:t xml:space="preserve"> United </w:t>
      </w:r>
      <w:proofErr w:type="spellStart"/>
      <w:r w:rsidRPr="00F84981">
        <w:rPr>
          <w:i/>
          <w:iCs/>
        </w:rPr>
        <w:t>Nations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Sustainable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Development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Goals</w:t>
      </w:r>
      <w:proofErr w:type="spellEnd"/>
      <w:r w:rsidRPr="00F84981">
        <w:rPr>
          <w:i/>
          <w:iCs/>
        </w:rPr>
        <w:t xml:space="preserve">: </w:t>
      </w:r>
      <w:proofErr w:type="spellStart"/>
      <w:r w:rsidRPr="00F84981">
        <w:rPr>
          <w:i/>
          <w:iCs/>
        </w:rPr>
        <w:t>Challenges</w:t>
      </w:r>
      <w:proofErr w:type="spellEnd"/>
      <w:r w:rsidRPr="00F84981">
        <w:rPr>
          <w:i/>
          <w:iCs/>
        </w:rPr>
        <w:t xml:space="preserve"> and </w:t>
      </w:r>
      <w:proofErr w:type="spellStart"/>
      <w:r w:rsidRPr="00F84981">
        <w:rPr>
          <w:i/>
          <w:iCs/>
        </w:rPr>
        <w:t>Opportunities</w:t>
      </w:r>
      <w:proofErr w:type="spellEnd"/>
      <w:r w:rsidRPr="00F84981">
        <w:rPr>
          <w:i/>
          <w:iCs/>
        </w:rPr>
        <w:t>“</w:t>
      </w:r>
      <w:r w:rsidRPr="00F84981">
        <w:t xml:space="preserve"> (Kultura</w:t>
      </w:r>
      <w:r w:rsidR="008A3180">
        <w:t xml:space="preserve"> a </w:t>
      </w:r>
      <w:r w:rsidRPr="00F84981">
        <w:t>cíle udržitelného rozvoje OSN: výzvy</w:t>
      </w:r>
      <w:r w:rsidR="008A3180">
        <w:t xml:space="preserve"> a </w:t>
      </w:r>
      <w:r w:rsidRPr="00F84981">
        <w:t>příležitosti) (2021)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</w:rPr>
      </w:pPr>
      <w:r w:rsidRPr="00F84981">
        <w:t>Zpráva</w:t>
      </w:r>
      <w:r w:rsidR="008A3180">
        <w:t xml:space="preserve"> o </w:t>
      </w:r>
      <w:r w:rsidRPr="00F84981">
        <w:t xml:space="preserve">výstupech skupinových diskusí během akce </w:t>
      </w:r>
      <w:r w:rsidRPr="00F84981">
        <w:rPr>
          <w:i/>
          <w:iCs/>
        </w:rPr>
        <w:t>„</w:t>
      </w:r>
      <w:proofErr w:type="spellStart"/>
      <w:r w:rsidRPr="00F84981">
        <w:rPr>
          <w:i/>
          <w:iCs/>
        </w:rPr>
        <w:t>Voices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of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Culture</w:t>
      </w:r>
      <w:proofErr w:type="spellEnd"/>
      <w:r w:rsidRPr="00F84981">
        <w:rPr>
          <w:i/>
          <w:iCs/>
        </w:rPr>
        <w:t xml:space="preserve">“: „Status and </w:t>
      </w:r>
      <w:proofErr w:type="spellStart"/>
      <w:r w:rsidRPr="00F84981">
        <w:rPr>
          <w:i/>
          <w:iCs/>
        </w:rPr>
        <w:t>Working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Conditions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for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Artists</w:t>
      </w:r>
      <w:proofErr w:type="spellEnd"/>
      <w:r w:rsidRPr="00F84981">
        <w:rPr>
          <w:i/>
          <w:iCs/>
        </w:rPr>
        <w:t xml:space="preserve">, </w:t>
      </w:r>
      <w:proofErr w:type="spellStart"/>
      <w:r w:rsidRPr="00F84981">
        <w:rPr>
          <w:i/>
          <w:iCs/>
        </w:rPr>
        <w:t>Cultural</w:t>
      </w:r>
      <w:proofErr w:type="spellEnd"/>
      <w:r w:rsidRPr="00F84981">
        <w:rPr>
          <w:i/>
          <w:iCs/>
        </w:rPr>
        <w:t xml:space="preserve"> and </w:t>
      </w:r>
      <w:proofErr w:type="spellStart"/>
      <w:r w:rsidRPr="00F84981">
        <w:rPr>
          <w:i/>
          <w:iCs/>
        </w:rPr>
        <w:t>Creative</w:t>
      </w:r>
      <w:proofErr w:type="spellEnd"/>
      <w:r w:rsidRPr="00F84981">
        <w:rPr>
          <w:i/>
          <w:iCs/>
        </w:rPr>
        <w:t xml:space="preserve"> </w:t>
      </w:r>
      <w:proofErr w:type="spellStart"/>
      <w:r w:rsidRPr="00F84981">
        <w:rPr>
          <w:i/>
          <w:iCs/>
        </w:rPr>
        <w:t>Professionals</w:t>
      </w:r>
      <w:proofErr w:type="spellEnd"/>
      <w:r w:rsidRPr="00F84981">
        <w:t>“</w:t>
      </w:r>
      <w:r w:rsidRPr="00C51015">
        <w:rPr>
          <w:rFonts w:eastAsia="Calibri"/>
          <w:b/>
          <w:bCs/>
          <w:vertAlign w:val="superscript"/>
        </w:rPr>
        <w:footnoteReference w:id="14"/>
      </w:r>
      <w:r w:rsidRPr="00C51015">
        <w:rPr>
          <w:b/>
          <w:bCs/>
        </w:rPr>
        <w:t xml:space="preserve"> </w:t>
      </w:r>
      <w:r w:rsidRPr="00F84981">
        <w:t>(Status</w:t>
      </w:r>
      <w:r w:rsidR="008A3180">
        <w:t xml:space="preserve"> a </w:t>
      </w:r>
      <w:r w:rsidRPr="00F84981">
        <w:t>pracovní podmínky umělců, pracovníků kulturního</w:t>
      </w:r>
      <w:r w:rsidR="008A3180">
        <w:t xml:space="preserve"> a </w:t>
      </w:r>
      <w:r w:rsidRPr="00F84981">
        <w:t>kreativního odvětví) (2021)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/>
          <w:i/>
        </w:rPr>
      </w:pPr>
      <w:r w:rsidRPr="00F84981">
        <w:rPr>
          <w:b/>
          <w:i/>
        </w:rPr>
        <w:t>Evropský parlament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Cs/>
        </w:rPr>
      </w:pPr>
      <w:r w:rsidRPr="00F84981">
        <w:t>Umělá inteligence ve vzdělávání, kultuře</w:t>
      </w:r>
      <w:r w:rsidR="008A3180">
        <w:t xml:space="preserve"> a v </w:t>
      </w:r>
      <w:r w:rsidRPr="00F84981">
        <w:t>audiovizuálním odvětví (2020/2017(INI))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Cs/>
        </w:rPr>
      </w:pPr>
      <w:r w:rsidRPr="00F84981">
        <w:t>Rovnost jazyků</w:t>
      </w:r>
      <w:r w:rsidR="008A3180">
        <w:t xml:space="preserve"> v </w:t>
      </w:r>
      <w:r w:rsidRPr="00F84981">
        <w:t>digitálním věku (2018/2028(INI))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Cs/>
        </w:rPr>
      </w:pPr>
      <w:r w:rsidRPr="00F84981">
        <w:t>Situace umělců</w:t>
      </w:r>
      <w:r w:rsidR="008A3180">
        <w:t xml:space="preserve"> a </w:t>
      </w:r>
      <w:r w:rsidRPr="00F84981">
        <w:t>kulturní oživení</w:t>
      </w:r>
      <w:r w:rsidR="008A3180">
        <w:t xml:space="preserve"> v </w:t>
      </w:r>
      <w:r w:rsidRPr="00F84981">
        <w:t>EU (2020/2261(INI))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/>
          <w:i/>
        </w:rPr>
      </w:pPr>
      <w:r w:rsidRPr="00F84981">
        <w:t xml:space="preserve">Kulturní oživení Evropy </w:t>
      </w:r>
      <w:r w:rsidRPr="00F84981">
        <w:rPr>
          <w:color w:val="0000FF" w:themeColor="hyperlink"/>
          <w:u w:val="single"/>
        </w:rPr>
        <w:t>(2020/2708(RSP)</w:t>
      </w:r>
      <w:r w:rsidRPr="00F84981">
        <w:t>)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  <w:b/>
          <w:i/>
        </w:rPr>
      </w:pPr>
      <w:r w:rsidRPr="00F84981">
        <w:rPr>
          <w:b/>
          <w:i/>
        </w:rPr>
        <w:t>UNESCO</w:t>
      </w:r>
    </w:p>
    <w:p w:rsidR="00B7181F" w:rsidRPr="00F84981" w:rsidRDefault="00B7181F" w:rsidP="00B7181F">
      <w:pPr>
        <w:spacing w:before="60" w:after="60" w:line="312" w:lineRule="auto"/>
        <w:jc w:val="both"/>
        <w:rPr>
          <w:rFonts w:eastAsia="Calibri"/>
        </w:rPr>
      </w:pPr>
      <w:r w:rsidRPr="00F84981">
        <w:t>Úmluva</w:t>
      </w:r>
      <w:r w:rsidR="008A3180">
        <w:t xml:space="preserve"> o </w:t>
      </w:r>
      <w:r w:rsidRPr="00F84981">
        <w:t>ochraně</w:t>
      </w:r>
      <w:r w:rsidR="008A3180">
        <w:t xml:space="preserve"> a </w:t>
      </w:r>
      <w:r w:rsidRPr="00F84981">
        <w:t>podpoře rozmanitosti kulturních projevů (2005)</w:t>
      </w:r>
      <w:r w:rsidRPr="008A3180">
        <w:rPr>
          <w:rFonts w:eastAsia="Calibri"/>
          <w:b/>
          <w:bCs/>
          <w:vertAlign w:val="superscript"/>
        </w:rPr>
        <w:footnoteReference w:id="15"/>
      </w:r>
    </w:p>
    <w:p w:rsidR="00B7181F" w:rsidRPr="00CE081E" w:rsidRDefault="00B7181F" w:rsidP="00B7181F">
      <w:pPr>
        <w:pStyle w:val="FinalLine"/>
      </w:pPr>
    </w:p>
    <w:sectPr w:rsidR="00B7181F" w:rsidRPr="00CE081E" w:rsidSect="008A3180">
      <w:headerReference w:type="default" r:id="rId18"/>
      <w:footerReference w:type="default" r:id="rId19"/>
      <w:pgSz w:w="11907" w:h="1683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80" w:rsidRDefault="008A3180" w:rsidP="001B675E">
      <w:pPr>
        <w:spacing w:before="0" w:after="0" w:line="240" w:lineRule="auto"/>
      </w:pPr>
      <w:r>
        <w:separator/>
      </w:r>
    </w:p>
  </w:endnote>
  <w:endnote w:type="continuationSeparator" w:id="0">
    <w:p w:rsidR="008A3180" w:rsidRDefault="008A3180" w:rsidP="001B675E">
      <w:pPr>
        <w:spacing w:before="0" w:after="0" w:line="240" w:lineRule="auto"/>
      </w:pPr>
      <w:r>
        <w:continuationSeparator/>
      </w:r>
    </w:p>
  </w:endnote>
  <w:endnote w:type="continuationNotice" w:id="1">
    <w:p w:rsidR="008A3180" w:rsidRDefault="008A318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0" w:rsidRPr="008A3180" w:rsidRDefault="008A3180" w:rsidP="008A31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A3180" w:rsidRPr="00D94637" w:rsidTr="008A318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A3180" w:rsidRPr="00D94637" w:rsidRDefault="008A3180" w:rsidP="008A3180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8A3180" w:rsidRPr="00B310DC" w:rsidTr="008A318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</w:pPr>
          <w:r>
            <w:t>6756/22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A3180" w:rsidRPr="002511D8" w:rsidRDefault="008A3180" w:rsidP="008A3180">
          <w:pPr>
            <w:pStyle w:val="FooterText"/>
            <w:jc w:val="center"/>
          </w:pPr>
          <w:r>
            <w:t>el/AJ/</w:t>
          </w:r>
          <w:proofErr w:type="spellStart"/>
          <w:r>
            <w:t>vmu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A3180" w:rsidRPr="00B310DC" w:rsidRDefault="008A3180" w:rsidP="008A3180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801972">
            <w:rPr>
              <w:noProof/>
            </w:rPr>
            <w:t>1</w:t>
          </w:r>
          <w:r>
            <w:fldChar w:fldCharType="end"/>
          </w:r>
        </w:p>
      </w:tc>
    </w:tr>
    <w:tr w:rsidR="008A3180" w:rsidRPr="00D94637" w:rsidTr="008A3180">
      <w:trPr>
        <w:jc w:val="center"/>
      </w:trPr>
      <w:tc>
        <w:tcPr>
          <w:tcW w:w="1774" w:type="pct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A3180" w:rsidRPr="00D94637" w:rsidRDefault="008A3180" w:rsidP="008A3180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A3180" w:rsidRPr="000310C2" w:rsidRDefault="008A3180" w:rsidP="008A3180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  <w:bookmarkEnd w:id="2"/>
  </w:tbl>
  <w:p w:rsidR="008A3180" w:rsidRPr="008A3180" w:rsidRDefault="008A3180" w:rsidP="008A3180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A3180" w:rsidRPr="00D94637" w:rsidTr="008A318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A3180" w:rsidRPr="00D94637" w:rsidRDefault="008A3180" w:rsidP="008A3180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A3180" w:rsidRPr="00B310DC" w:rsidTr="008A318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</w:pPr>
          <w:r>
            <w:t>6756/22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A3180" w:rsidRPr="002511D8" w:rsidRDefault="008A3180" w:rsidP="008A3180">
          <w:pPr>
            <w:pStyle w:val="FooterText"/>
            <w:jc w:val="center"/>
          </w:pPr>
          <w:r>
            <w:t>el/AJ/</w:t>
          </w:r>
          <w:proofErr w:type="spellStart"/>
          <w:r>
            <w:t>vmu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A3180" w:rsidRPr="00B310DC" w:rsidRDefault="008A3180" w:rsidP="008A3180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346B">
            <w:rPr>
              <w:noProof/>
            </w:rPr>
            <w:t>1</w:t>
          </w:r>
          <w:r>
            <w:fldChar w:fldCharType="end"/>
          </w:r>
        </w:p>
      </w:tc>
    </w:tr>
    <w:tr w:rsidR="008A3180" w:rsidRPr="00D94637" w:rsidTr="008A3180">
      <w:trPr>
        <w:jc w:val="center"/>
      </w:trPr>
      <w:tc>
        <w:tcPr>
          <w:tcW w:w="1774" w:type="pct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A3180" w:rsidRPr="00D94637" w:rsidRDefault="008A3180" w:rsidP="008A3180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A3180" w:rsidRPr="000310C2" w:rsidRDefault="008A3180" w:rsidP="008A3180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</w:tbl>
  <w:p w:rsidR="008A3180" w:rsidRPr="008A3180" w:rsidRDefault="008A3180" w:rsidP="008A3180">
    <w:pPr>
      <w:pStyle w:val="FooterCouncil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A3180" w:rsidRPr="00D94637" w:rsidTr="008A318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A3180" w:rsidRPr="00D94637" w:rsidRDefault="008A3180" w:rsidP="008A3180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A3180" w:rsidRPr="00B310DC" w:rsidTr="008A318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</w:pPr>
          <w:r>
            <w:t>6756/22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A3180" w:rsidRPr="002511D8" w:rsidRDefault="008A3180" w:rsidP="008A3180">
          <w:pPr>
            <w:pStyle w:val="FooterText"/>
            <w:jc w:val="center"/>
          </w:pPr>
          <w:r>
            <w:t>el/AJ/</w:t>
          </w:r>
          <w:proofErr w:type="spellStart"/>
          <w:r>
            <w:t>vmu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A3180" w:rsidRPr="00B310DC" w:rsidRDefault="008A3180" w:rsidP="008A3180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346B">
            <w:rPr>
              <w:noProof/>
            </w:rPr>
            <w:t>2</w:t>
          </w:r>
          <w:r>
            <w:fldChar w:fldCharType="end"/>
          </w:r>
        </w:p>
      </w:tc>
    </w:tr>
    <w:tr w:rsidR="008A3180" w:rsidRPr="00D94637" w:rsidTr="008A3180">
      <w:trPr>
        <w:jc w:val="center"/>
      </w:trPr>
      <w:tc>
        <w:tcPr>
          <w:tcW w:w="1774" w:type="pct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</w:pPr>
          <w:r>
            <w:t>PŘÍLOHA</w:t>
          </w:r>
        </w:p>
      </w:tc>
      <w:tc>
        <w:tcPr>
          <w:tcW w:w="1455" w:type="pct"/>
          <w:gridSpan w:val="3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A3180" w:rsidRPr="00D94637" w:rsidRDefault="008A3180" w:rsidP="008A3180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A3180" w:rsidRPr="000310C2" w:rsidRDefault="008A3180" w:rsidP="008A3180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</w:tbl>
  <w:p w:rsidR="008A3180" w:rsidRPr="008A3180" w:rsidRDefault="008A3180" w:rsidP="008A3180">
    <w:pPr>
      <w:pStyle w:val="FooterCouncil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8A3180" w:rsidRPr="00D94637" w:rsidTr="008A3180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8A3180" w:rsidRPr="00D94637" w:rsidRDefault="008A3180" w:rsidP="008A3180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8A3180" w:rsidRPr="00B310DC" w:rsidTr="008A3180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</w:pPr>
          <w:r>
            <w:t>6756/22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8A3180" w:rsidRPr="00AD7BF2" w:rsidRDefault="008A3180" w:rsidP="008A3180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8A3180" w:rsidRPr="002511D8" w:rsidRDefault="008A3180" w:rsidP="008A3180">
          <w:pPr>
            <w:pStyle w:val="FooterText"/>
            <w:jc w:val="center"/>
          </w:pPr>
          <w:r>
            <w:t>el/AJ/</w:t>
          </w:r>
          <w:proofErr w:type="spellStart"/>
          <w:r>
            <w:t>vmu</w:t>
          </w:r>
          <w:proofErr w:type="spellEnd"/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8A3180" w:rsidRPr="00B310DC" w:rsidRDefault="008A3180" w:rsidP="008A3180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346B">
            <w:rPr>
              <w:noProof/>
            </w:rPr>
            <w:t>13</w:t>
          </w:r>
          <w:r>
            <w:fldChar w:fldCharType="end"/>
          </w:r>
        </w:p>
      </w:tc>
    </w:tr>
    <w:tr w:rsidR="008A3180" w:rsidRPr="00D94637" w:rsidTr="008A3180">
      <w:trPr>
        <w:jc w:val="center"/>
      </w:trPr>
      <w:tc>
        <w:tcPr>
          <w:tcW w:w="1774" w:type="pct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</w:pPr>
          <w:r>
            <w:t>PŘÍLOHA K PŘÍLOZE</w:t>
          </w:r>
        </w:p>
      </w:tc>
      <w:tc>
        <w:tcPr>
          <w:tcW w:w="1455" w:type="pct"/>
          <w:gridSpan w:val="3"/>
          <w:shd w:val="clear" w:color="auto" w:fill="auto"/>
        </w:tcPr>
        <w:p w:rsidR="008A3180" w:rsidRPr="00AD7BF2" w:rsidRDefault="008A3180" w:rsidP="008A3180">
          <w:pPr>
            <w:pStyle w:val="FooterText"/>
            <w:spacing w:before="40"/>
            <w:jc w:val="center"/>
          </w:pPr>
          <w:r>
            <w:t>TREE.1.B</w:t>
          </w:r>
        </w:p>
      </w:tc>
      <w:tc>
        <w:tcPr>
          <w:tcW w:w="742" w:type="pct"/>
          <w:shd w:val="clear" w:color="auto" w:fill="auto"/>
        </w:tcPr>
        <w:p w:rsidR="008A3180" w:rsidRPr="00D94637" w:rsidRDefault="008A3180" w:rsidP="008A3180">
          <w:pPr>
            <w:pStyle w:val="FooterText"/>
            <w:jc w:val="center"/>
            <w:rPr>
              <w:b/>
              <w:position w:val="-4"/>
              <w:sz w:val="36"/>
            </w:rPr>
          </w:pPr>
          <w:r>
            <w:rPr>
              <w:b/>
              <w:position w:val="-4"/>
              <w:sz w:val="36"/>
            </w:rPr>
            <w:t>LIMITE</w:t>
          </w:r>
        </w:p>
      </w:tc>
      <w:tc>
        <w:tcPr>
          <w:tcW w:w="1029" w:type="pct"/>
          <w:gridSpan w:val="2"/>
          <w:shd w:val="clear" w:color="auto" w:fill="auto"/>
        </w:tcPr>
        <w:p w:rsidR="008A3180" w:rsidRPr="000310C2" w:rsidRDefault="008A3180" w:rsidP="008A3180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CS</w:t>
          </w:r>
        </w:p>
      </w:tc>
    </w:tr>
  </w:tbl>
  <w:p w:rsidR="008A3180" w:rsidRPr="008A3180" w:rsidRDefault="008A3180" w:rsidP="008A3180">
    <w:pPr>
      <w:pStyle w:val="FooterCounci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80" w:rsidRDefault="008A3180" w:rsidP="008D3C9A">
      <w:pPr>
        <w:spacing w:before="0" w:after="0" w:line="240" w:lineRule="auto"/>
      </w:pPr>
      <w:r>
        <w:separator/>
      </w:r>
    </w:p>
  </w:footnote>
  <w:footnote w:type="continuationSeparator" w:id="0">
    <w:p w:rsidR="008A3180" w:rsidRDefault="008A3180" w:rsidP="00EC3B25">
      <w:pPr>
        <w:spacing w:before="0" w:after="0" w:line="240" w:lineRule="auto"/>
      </w:pPr>
      <w:r>
        <w:continuationSeparator/>
      </w:r>
    </w:p>
  </w:footnote>
  <w:footnote w:id="1">
    <w:p w:rsidR="008A3180" w:rsidRPr="00F84981" w:rsidRDefault="008A3180" w:rsidP="00B7181F">
      <w:pPr>
        <w:pStyle w:val="Textpoznpodarou"/>
        <w:ind w:left="709" w:hanging="709"/>
        <w:rPr>
          <w:rFonts w:cstheme="minorBidi"/>
          <w:bCs/>
        </w:rPr>
      </w:pPr>
      <w:r w:rsidRPr="00F84981">
        <w:rPr>
          <w:rStyle w:val="Znakapoznpodarou"/>
          <w:bCs/>
        </w:rPr>
        <w:footnoteRef/>
      </w:r>
      <w:r w:rsidRPr="00F84981">
        <w:rPr>
          <w:b/>
          <w:bCs/>
        </w:rPr>
        <w:tab/>
      </w:r>
      <w:r w:rsidRPr="00F84981">
        <w:t>Je definována jako přítomnost nebo koexistence několika jazyků v rámci dané společnosti nebo území nebo v daném médiu.</w:t>
      </w:r>
    </w:p>
  </w:footnote>
  <w:footnote w:id="2">
    <w:p w:rsidR="008A3180" w:rsidRPr="00F84981" w:rsidRDefault="008A3180" w:rsidP="00B7181F">
      <w:pPr>
        <w:pStyle w:val="Textpoznpodarou"/>
        <w:rPr>
          <w:bCs/>
        </w:rPr>
      </w:pPr>
      <w:r w:rsidRPr="00F84981">
        <w:rPr>
          <w:rStyle w:val="Znakapoznpodarou"/>
          <w:bCs/>
        </w:rPr>
        <w:footnoteRef/>
      </w:r>
      <w:r w:rsidRPr="00F84981">
        <w:tab/>
        <w:t>Je definována jako schopnost jednotlivce používat několik jazyků.</w:t>
      </w:r>
    </w:p>
  </w:footnote>
  <w:footnote w:id="3">
    <w:p w:rsidR="008A3180" w:rsidRPr="00F84981" w:rsidRDefault="008A3180" w:rsidP="00B7181F">
      <w:pPr>
        <w:pStyle w:val="Textpoznpodarou"/>
      </w:pPr>
      <w:r w:rsidRPr="00F84981">
        <w:rPr>
          <w:rStyle w:val="Znakapoznpodarou"/>
          <w:bCs/>
        </w:rPr>
        <w:footnoteRef/>
      </w:r>
      <w:r w:rsidRPr="00F84981">
        <w:tab/>
      </w:r>
      <w:hyperlink r:id="rId1" w:history="1">
        <w:r w:rsidRPr="00F84981">
          <w:rPr>
            <w:color w:val="0000FF" w:themeColor="hyperlink"/>
            <w:u w:val="single"/>
          </w:rPr>
          <w:t>https://euraxess.ec.europa.eu/</w:t>
        </w:r>
      </w:hyperlink>
    </w:p>
  </w:footnote>
  <w:footnote w:id="4">
    <w:p w:rsidR="008A3180" w:rsidRPr="00F84981" w:rsidRDefault="008A3180" w:rsidP="00B7181F">
      <w:pPr>
        <w:pStyle w:val="Textpoznpodarou"/>
        <w:rPr>
          <w:b/>
          <w:bCs/>
        </w:rPr>
      </w:pPr>
      <w:r w:rsidRPr="00F84981">
        <w:rPr>
          <w:rStyle w:val="Znakapoznpodarou"/>
          <w:bCs/>
        </w:rPr>
        <w:footnoteRef/>
      </w:r>
      <w:r w:rsidRPr="00F84981">
        <w:rPr>
          <w:b/>
          <w:bCs/>
        </w:rPr>
        <w:tab/>
      </w:r>
      <w:r w:rsidRPr="00F84981">
        <w:t>https://ec.europa.eu/culture/funding/cultureu-funding-guide</w:t>
      </w:r>
    </w:p>
  </w:footnote>
  <w:footnote w:id="5">
    <w:p w:rsidR="008A3180" w:rsidRPr="00F84981" w:rsidRDefault="008A3180" w:rsidP="00B7181F">
      <w:pPr>
        <w:pStyle w:val="Textpoznpodarou"/>
        <w:rPr>
          <w:b/>
          <w:bCs/>
        </w:rPr>
      </w:pPr>
      <w:r w:rsidRPr="00F84981">
        <w:rPr>
          <w:rStyle w:val="Znakapoznpodarou"/>
          <w:bCs/>
        </w:rPr>
        <w:footnoteRef/>
      </w:r>
      <w:r w:rsidRPr="00F84981">
        <w:rPr>
          <w:b/>
          <w:bCs/>
        </w:rPr>
        <w:tab/>
      </w:r>
      <w:r w:rsidRPr="00F84981">
        <w:t>https://erasmus-plus.ec.europa.eu/cs/zdroje-a-nastroje/online-jazykova-podpora</w:t>
      </w:r>
    </w:p>
  </w:footnote>
  <w:footnote w:id="6">
    <w:p w:rsidR="008A3180" w:rsidRPr="00F84981" w:rsidRDefault="008A3180" w:rsidP="008A3180">
      <w:pPr>
        <w:pStyle w:val="Textpoznpodarou"/>
        <w:ind w:left="709" w:hanging="709"/>
      </w:pPr>
      <w:r w:rsidRPr="00F84981">
        <w:rPr>
          <w:rStyle w:val="Znakapoznpodarou"/>
          <w:bCs/>
        </w:rPr>
        <w:footnoteRef/>
      </w:r>
      <w:r w:rsidRPr="00F84981">
        <w:tab/>
        <w:t>Otevřená metoda koordinace. Skupiny pro otevřenou metodu koordinace jsou zřízeny v</w:t>
      </w:r>
      <w:r>
        <w:t> </w:t>
      </w:r>
      <w:r w:rsidRPr="00F84981">
        <w:t>rámci pracovního plánu pro kulturu (2019–2022) (</w:t>
      </w:r>
      <w:proofErr w:type="spellStart"/>
      <w:r w:rsidRPr="00F84981">
        <w:t>Úř</w:t>
      </w:r>
      <w:proofErr w:type="spellEnd"/>
      <w:r w:rsidRPr="00F84981">
        <w:t>. </w:t>
      </w:r>
      <w:proofErr w:type="spellStart"/>
      <w:r w:rsidRPr="00F84981">
        <w:t>věst</w:t>
      </w:r>
      <w:proofErr w:type="spellEnd"/>
      <w:r w:rsidRPr="00F84981">
        <w:t>. C 460, 21.12.2018, s. 12).</w:t>
      </w:r>
    </w:p>
  </w:footnote>
  <w:footnote w:id="7">
    <w:p w:rsidR="008A3180" w:rsidRPr="00C51015" w:rsidRDefault="008A3180" w:rsidP="00B7181F">
      <w:pPr>
        <w:pStyle w:val="Textpoznpodarou"/>
        <w:rPr>
          <w:bCs/>
          <w:szCs w:val="24"/>
        </w:rPr>
      </w:pPr>
      <w:r w:rsidRPr="00F84981">
        <w:rPr>
          <w:rStyle w:val="Znakapoznpodarou"/>
          <w:szCs w:val="24"/>
        </w:rPr>
        <w:footnoteRef/>
      </w:r>
      <w:r w:rsidRPr="00F84981">
        <w:rPr>
          <w:b/>
          <w:szCs w:val="24"/>
        </w:rPr>
        <w:tab/>
      </w:r>
      <w:r w:rsidRPr="00C51015">
        <w:rPr>
          <w:bCs/>
          <w:szCs w:val="24"/>
        </w:rPr>
        <w:t>Jak jsou určeny v článku 349 Smlouvy o fungování Evropské unie.</w:t>
      </w:r>
    </w:p>
  </w:footnote>
  <w:footnote w:id="8">
    <w:p w:rsidR="008A3180" w:rsidRPr="00C51015" w:rsidRDefault="008A3180" w:rsidP="00B7181F">
      <w:pPr>
        <w:pStyle w:val="Textpoznpodarou"/>
        <w:rPr>
          <w:szCs w:val="24"/>
        </w:rPr>
      </w:pPr>
      <w:r w:rsidRPr="00C51015">
        <w:rPr>
          <w:rStyle w:val="Znakapoznpodarou"/>
          <w:szCs w:val="24"/>
        </w:rPr>
        <w:footnoteRef/>
      </w:r>
      <w:r w:rsidRPr="00C51015">
        <w:rPr>
          <w:szCs w:val="24"/>
        </w:rPr>
        <w:tab/>
        <w:t>Jak jsou určeny v článku 198 a v příloze II Smlouvy o fungování Evropské unie.</w:t>
      </w:r>
    </w:p>
  </w:footnote>
  <w:footnote w:id="9">
    <w:p w:rsidR="008A3180" w:rsidRPr="008A3180" w:rsidRDefault="008A3180" w:rsidP="00C51015">
      <w:pPr>
        <w:pStyle w:val="Default"/>
        <w:ind w:left="709" w:hanging="709"/>
        <w:rPr>
          <w:rFonts w:asciiTheme="majorBidi" w:hAnsiTheme="majorBidi" w:cstheme="majorBidi"/>
          <w:sz w:val="22"/>
          <w:szCs w:val="22"/>
        </w:rPr>
      </w:pPr>
      <w:r w:rsidRPr="00C51015">
        <w:rPr>
          <w:rStyle w:val="Znakapoznpodarou"/>
          <w:rFonts w:ascii="Times New Roman" w:hAnsi="Times New Roman" w:cs="Times New Roman"/>
          <w:color w:val="auto"/>
        </w:rPr>
        <w:footnoteRef/>
      </w:r>
      <w:r w:rsidRPr="00C51015">
        <w:rPr>
          <w:rFonts w:asciiTheme="majorBidi" w:hAnsiTheme="majorBidi" w:cstheme="majorBidi"/>
        </w:rPr>
        <w:tab/>
        <w:t>Jak je definováno v čl. 2 bodě 1 nařízení Evropského parlamentu a Rady (EU) 2021/817 ze dne 20. května 2021, kterým se zavádí program Erasmus+: program Unie pro vzdělávání a</w:t>
      </w:r>
      <w:r w:rsidR="00C51015">
        <w:rPr>
          <w:rFonts w:asciiTheme="majorBidi" w:hAnsiTheme="majorBidi" w:cstheme="majorBidi"/>
        </w:rPr>
        <w:t> </w:t>
      </w:r>
      <w:r w:rsidRPr="00C51015">
        <w:rPr>
          <w:rFonts w:asciiTheme="majorBidi" w:hAnsiTheme="majorBidi" w:cstheme="majorBidi"/>
        </w:rPr>
        <w:t>odbornou přípravu, pro mládež a pro sport a zrušuje nařízení (EU) č. 1288/2013 (</w:t>
      </w:r>
      <w:proofErr w:type="spellStart"/>
      <w:r w:rsidRPr="00C51015">
        <w:rPr>
          <w:rFonts w:asciiTheme="majorBidi" w:hAnsiTheme="majorBidi" w:cstheme="majorBidi"/>
        </w:rPr>
        <w:t>Úř</w:t>
      </w:r>
      <w:proofErr w:type="spellEnd"/>
      <w:r w:rsidRPr="00C51015">
        <w:rPr>
          <w:rFonts w:asciiTheme="majorBidi" w:hAnsiTheme="majorBidi" w:cstheme="majorBidi"/>
        </w:rPr>
        <w:t xml:space="preserve">. </w:t>
      </w:r>
      <w:proofErr w:type="spellStart"/>
      <w:r w:rsidRPr="00C51015">
        <w:rPr>
          <w:rFonts w:asciiTheme="majorBidi" w:hAnsiTheme="majorBidi" w:cstheme="majorBidi"/>
        </w:rPr>
        <w:t>věst</w:t>
      </w:r>
      <w:proofErr w:type="spellEnd"/>
      <w:r w:rsidRPr="00C51015">
        <w:rPr>
          <w:rFonts w:asciiTheme="majorBidi" w:hAnsiTheme="majorBidi" w:cstheme="majorBidi"/>
        </w:rPr>
        <w:t>. L 189 28.5.2021 s. 1).</w:t>
      </w:r>
    </w:p>
  </w:footnote>
  <w:footnote w:id="10">
    <w:p w:rsidR="008A3180" w:rsidRPr="00F84981" w:rsidRDefault="008A3180" w:rsidP="00B7181F">
      <w:pPr>
        <w:pStyle w:val="Textpoznpodarou"/>
        <w:ind w:left="567" w:hanging="567"/>
        <w:rPr>
          <w:bCs/>
        </w:rPr>
      </w:pPr>
      <w:r w:rsidRPr="00F84981">
        <w:rPr>
          <w:rStyle w:val="Znakapoznpodarou"/>
        </w:rPr>
        <w:footnoteRef/>
      </w:r>
      <w:r w:rsidRPr="00F84981">
        <w:rPr>
          <w:b/>
        </w:rPr>
        <w:tab/>
      </w:r>
      <w:r w:rsidRPr="00F84981">
        <w:t>Jak jsou definovány v nařízení Rady č. 1 o užívání jazyků v Evropském hospodářském společenství (</w:t>
      </w:r>
      <w:proofErr w:type="spellStart"/>
      <w:r w:rsidRPr="00F84981">
        <w:t>Úř</w:t>
      </w:r>
      <w:proofErr w:type="spellEnd"/>
      <w:r w:rsidRPr="00F84981">
        <w:t xml:space="preserve">. </w:t>
      </w:r>
      <w:proofErr w:type="spellStart"/>
      <w:r w:rsidRPr="00F84981">
        <w:t>věst</w:t>
      </w:r>
      <w:proofErr w:type="spellEnd"/>
      <w:r w:rsidRPr="00F84981">
        <w:t>. 17, 6.10.1958, s. 385), ve znění pozdějších předpisů.</w:t>
      </w:r>
    </w:p>
  </w:footnote>
  <w:footnote w:id="11">
    <w:p w:rsidR="008A3180" w:rsidRPr="00F84981" w:rsidRDefault="008A3180" w:rsidP="008A3180">
      <w:pPr>
        <w:spacing w:line="240" w:lineRule="auto"/>
        <w:ind w:left="567" w:hanging="567"/>
        <w:jc w:val="both"/>
        <w:rPr>
          <w:rStyle w:val="TextpoznpodarouChar"/>
          <w:rFonts w:cstheme="minorBidi"/>
        </w:rPr>
      </w:pPr>
      <w:r w:rsidRPr="00F84981">
        <w:rPr>
          <w:rStyle w:val="Znakapoznpodarou"/>
          <w:bCs/>
        </w:rPr>
        <w:footnoteRef/>
      </w:r>
      <w:r w:rsidRPr="00F84981">
        <w:tab/>
      </w:r>
      <w:r w:rsidRPr="00F84981">
        <w:rPr>
          <w:rStyle w:val="TextpoznpodarouChar"/>
        </w:rPr>
        <w:t>V souladu s doporučením Rady ze dne 22. května 2019 o komplexním přístupu k výuce a</w:t>
      </w:r>
      <w:r>
        <w:rPr>
          <w:rStyle w:val="TextpoznpodarouChar"/>
        </w:rPr>
        <w:t> </w:t>
      </w:r>
      <w:r w:rsidRPr="00F84981">
        <w:rPr>
          <w:rStyle w:val="TextpoznpodarouChar"/>
        </w:rPr>
        <w:t>studiu jazyků (</w:t>
      </w:r>
      <w:proofErr w:type="spellStart"/>
      <w:r w:rsidRPr="00F84981">
        <w:rPr>
          <w:rStyle w:val="TextpoznpodarouChar"/>
        </w:rPr>
        <w:t>Úř</w:t>
      </w:r>
      <w:proofErr w:type="spellEnd"/>
      <w:r w:rsidRPr="00F84981">
        <w:rPr>
          <w:rStyle w:val="TextpoznpodarouChar"/>
        </w:rPr>
        <w:t>. </w:t>
      </w:r>
      <w:proofErr w:type="spellStart"/>
      <w:r w:rsidRPr="00F84981">
        <w:rPr>
          <w:rStyle w:val="TextpoznpodarouChar"/>
        </w:rPr>
        <w:t>věst</w:t>
      </w:r>
      <w:proofErr w:type="spellEnd"/>
      <w:r w:rsidRPr="00F84981">
        <w:rPr>
          <w:rStyle w:val="TextpoznpodarouChar"/>
        </w:rPr>
        <w:t>. C 189, 5.6.2019, s. 15).</w:t>
      </w:r>
    </w:p>
    <w:p w:rsidR="008A3180" w:rsidRPr="00F84981" w:rsidRDefault="008A3180" w:rsidP="00B7181F">
      <w:pPr>
        <w:pStyle w:val="Textpoznpodarou"/>
        <w:rPr>
          <w:bCs/>
        </w:rPr>
      </w:pPr>
    </w:p>
  </w:footnote>
  <w:footnote w:id="12">
    <w:p w:rsidR="008A3180" w:rsidRPr="00F84981" w:rsidRDefault="008A3180" w:rsidP="00B7181F">
      <w:pPr>
        <w:pStyle w:val="Textpoznpodarou"/>
        <w:ind w:left="567" w:hanging="567"/>
      </w:pPr>
      <w:r w:rsidRPr="00F84981">
        <w:rPr>
          <w:rStyle w:val="Znakapoznpodarou"/>
          <w:bCs/>
        </w:rPr>
        <w:footnoteRef/>
      </w:r>
      <w:r w:rsidRPr="00F84981">
        <w:tab/>
        <w:t>„Evropská rada rovněž žádá Komisi, Radu a členské státy, aby prozkoumaly možná opatření, pokud jde o: [...] právní a finanční rámcové podmínky pro rozvoj kulturních a tvůrčích odvětví, jakož i mobilitu pracovníků v kulturním odvětví.“</w:t>
      </w:r>
    </w:p>
  </w:footnote>
  <w:footnote w:id="13">
    <w:p w:rsidR="008A3180" w:rsidRPr="00F84981" w:rsidRDefault="008A3180" w:rsidP="00B7181F">
      <w:pPr>
        <w:pStyle w:val="Textpoznpodarou"/>
        <w:ind w:left="567" w:hanging="567"/>
      </w:pPr>
      <w:r w:rsidRPr="00F84981">
        <w:rPr>
          <w:rStyle w:val="Znakapoznpodarou"/>
          <w:bCs/>
        </w:rPr>
        <w:footnoteRef/>
      </w:r>
      <w:r w:rsidRPr="00F84981">
        <w:tab/>
        <w:t>Oddíl 4. Strategické cíle a akce, 4.1 Společenský rozměr – podchycení síly kultury a kulturní rozmanitosti pro sociální soudržnost a pohodu (druhá odrážka) „Podpora mobility pracovníků v kulturním a kreativním odvětví a odstranění překážek pro jejich mobilitu“.</w:t>
      </w:r>
    </w:p>
  </w:footnote>
  <w:footnote w:id="14">
    <w:p w:rsidR="008A3180" w:rsidRPr="00F84981" w:rsidRDefault="008A3180" w:rsidP="00C51015">
      <w:pPr>
        <w:pStyle w:val="Textpoznpodarou"/>
        <w:ind w:left="567" w:hanging="567"/>
      </w:pPr>
      <w:r w:rsidRPr="00F84981">
        <w:rPr>
          <w:rStyle w:val="Znakapoznpodarou"/>
          <w:bCs/>
        </w:rPr>
        <w:footnoteRef/>
      </w:r>
      <w:r w:rsidRPr="00F84981">
        <w:tab/>
        <w:t>Kapitola 4 „Mobilita (fyzická, ekologičtější, digitální, kombinovaná, předpisy, překážky)“</w:t>
      </w:r>
    </w:p>
  </w:footnote>
  <w:footnote w:id="15">
    <w:p w:rsidR="008A3180" w:rsidRPr="00F84981" w:rsidRDefault="008A3180" w:rsidP="00B7181F">
      <w:pPr>
        <w:pStyle w:val="Textpoznpodarou"/>
        <w:tabs>
          <w:tab w:val="left" w:pos="567"/>
        </w:tabs>
        <w:ind w:left="567" w:hanging="567"/>
      </w:pPr>
      <w:r w:rsidRPr="00F84981">
        <w:rPr>
          <w:rStyle w:val="Znakapoznpodarou"/>
          <w:bCs/>
        </w:rPr>
        <w:footnoteRef/>
      </w:r>
      <w:r w:rsidRPr="00F84981">
        <w:tab/>
        <w:t>Článek 14 „Strany se snaží podporovat spolupráci [...] s cílem přispět k rozvoji dynamického kulturního sektoru[...]</w:t>
      </w:r>
      <w:bookmarkStart w:id="5" w:name="DQCErrorScope037745421ff64efeaf3e090e9dc"/>
      <w:r w:rsidRPr="00F84981">
        <w:t xml:space="preserve"> </w:t>
      </w:r>
      <w:bookmarkEnd w:id="5"/>
    </w:p>
    <w:p w:rsidR="008A3180" w:rsidRPr="00F84981" w:rsidRDefault="008A3180" w:rsidP="00B7181F">
      <w:pPr>
        <w:pStyle w:val="Textpoznpodarou"/>
        <w:ind w:left="567" w:hanging="11"/>
      </w:pPr>
      <w:r w:rsidRPr="00F84981">
        <w:t>a) posilováním kulturních průmyslů rozvojových zemí: [...]</w:t>
      </w:r>
      <w:bookmarkStart w:id="6" w:name="DQCErrorScopea2ff3130614343009839bd50c79"/>
      <w:r w:rsidRPr="00F84981">
        <w:t xml:space="preserve"> </w:t>
      </w:r>
      <w:bookmarkEnd w:id="6"/>
    </w:p>
    <w:p w:rsidR="008A3180" w:rsidRPr="00F84981" w:rsidRDefault="008A3180" w:rsidP="00B7181F">
      <w:pPr>
        <w:pStyle w:val="Textpoznpodarou"/>
        <w:tabs>
          <w:tab w:val="left" w:pos="567"/>
        </w:tabs>
        <w:ind w:left="567" w:hanging="11"/>
      </w:pPr>
      <w:r w:rsidRPr="00F84981">
        <w:t>v) podporováním tvůrčí práce, a pokud možno, usnadňováním mobility umělců z rozvojových zemí;“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0" w:rsidRPr="008A3180" w:rsidRDefault="008A3180" w:rsidP="008A31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0" w:rsidRPr="008A3180" w:rsidRDefault="008A3180" w:rsidP="008A3180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0" w:rsidRPr="008A3180" w:rsidRDefault="008A3180" w:rsidP="008A3180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0" w:rsidRPr="008A3180" w:rsidRDefault="008A3180" w:rsidP="008A3180">
    <w:pPr>
      <w:pStyle w:val="Zhlav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80" w:rsidRPr="008A3180" w:rsidRDefault="008A3180" w:rsidP="008A31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CAE"/>
    <w:multiLevelType w:val="hybridMultilevel"/>
    <w:tmpl w:val="062C0C5A"/>
    <w:lvl w:ilvl="0" w:tplc="D38C1930">
      <w:start w:val="1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081D1B"/>
    <w:multiLevelType w:val="hybridMultilevel"/>
    <w:tmpl w:val="8C1ED9E8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6495604"/>
    <w:multiLevelType w:val="multilevel"/>
    <w:tmpl w:val="B1D833DC"/>
    <w:lvl w:ilvl="0">
      <w:start w:val="29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</w:lvl>
  </w:abstractNum>
  <w:abstractNum w:abstractNumId="4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</w:lvl>
  </w:abstractNum>
  <w:abstractNum w:abstractNumId="5">
    <w:nsid w:val="0AED6825"/>
    <w:multiLevelType w:val="hybridMultilevel"/>
    <w:tmpl w:val="BD422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1449"/>
    <w:multiLevelType w:val="hybridMultilevel"/>
    <w:tmpl w:val="40124316"/>
    <w:lvl w:ilvl="0" w:tplc="EEE0BA6A">
      <w:start w:val="15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</w:abstractNum>
  <w:abstractNum w:abstractNumId="9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4373A2"/>
    <w:multiLevelType w:val="hybridMultilevel"/>
    <w:tmpl w:val="C728E240"/>
    <w:lvl w:ilvl="0" w:tplc="BAAE5F3C">
      <w:start w:val="11"/>
      <w:numFmt w:val="decimal"/>
      <w:lvlText w:val="%1."/>
      <w:lvlJc w:val="left"/>
      <w:pPr>
        <w:ind w:left="220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2C6F666F"/>
    <w:multiLevelType w:val="hybridMultilevel"/>
    <w:tmpl w:val="776034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5699"/>
    <w:multiLevelType w:val="hybridMultilevel"/>
    <w:tmpl w:val="CD3ABDE2"/>
    <w:lvl w:ilvl="0" w:tplc="12D6F0AE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789" w:hanging="360"/>
      </w:pPr>
    </w:lvl>
    <w:lvl w:ilvl="2" w:tplc="040C001B">
      <w:start w:val="1"/>
      <w:numFmt w:val="lowerRoman"/>
      <w:lvlText w:val="%3."/>
      <w:lvlJc w:val="right"/>
      <w:pPr>
        <w:ind w:left="2509" w:hanging="180"/>
      </w:pPr>
    </w:lvl>
    <w:lvl w:ilvl="3" w:tplc="040C000F">
      <w:start w:val="1"/>
      <w:numFmt w:val="decimal"/>
      <w:lvlText w:val="%4."/>
      <w:lvlJc w:val="left"/>
      <w:pPr>
        <w:ind w:left="3229" w:hanging="360"/>
      </w:pPr>
    </w:lvl>
    <w:lvl w:ilvl="4" w:tplc="040C0019">
      <w:start w:val="1"/>
      <w:numFmt w:val="lowerLetter"/>
      <w:lvlText w:val="%5."/>
      <w:lvlJc w:val="left"/>
      <w:pPr>
        <w:ind w:left="3949" w:hanging="360"/>
      </w:pPr>
    </w:lvl>
    <w:lvl w:ilvl="5" w:tplc="040C001B">
      <w:start w:val="1"/>
      <w:numFmt w:val="lowerRoman"/>
      <w:lvlText w:val="%6."/>
      <w:lvlJc w:val="right"/>
      <w:pPr>
        <w:ind w:left="4669" w:hanging="180"/>
      </w:pPr>
    </w:lvl>
    <w:lvl w:ilvl="6" w:tplc="040C000F">
      <w:start w:val="1"/>
      <w:numFmt w:val="decimal"/>
      <w:lvlText w:val="%7."/>
      <w:lvlJc w:val="left"/>
      <w:pPr>
        <w:ind w:left="5389" w:hanging="360"/>
      </w:pPr>
    </w:lvl>
    <w:lvl w:ilvl="7" w:tplc="040C0019">
      <w:start w:val="1"/>
      <w:numFmt w:val="lowerLetter"/>
      <w:lvlText w:val="%8."/>
      <w:lvlJc w:val="left"/>
      <w:pPr>
        <w:ind w:left="6109" w:hanging="360"/>
      </w:pPr>
    </w:lvl>
    <w:lvl w:ilvl="8" w:tplc="040C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4DAA3654"/>
    <w:multiLevelType w:val="multilevel"/>
    <w:tmpl w:val="D4A2DE5A"/>
    <w:name w:val="Default"/>
    <w:lvl w:ilvl="0">
      <w:start w:val="1"/>
      <w:numFmt w:val="decimal"/>
      <w:lvlRestart w:val="0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</w:lvl>
  </w:abstractNum>
  <w:abstractNum w:abstractNumId="18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A194BB8"/>
    <w:multiLevelType w:val="multilevel"/>
    <w:tmpl w:val="6068EC0C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</w:lvl>
  </w:abstractNum>
  <w:abstractNum w:abstractNumId="21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</w:lvl>
  </w:abstractNum>
  <w:abstractNum w:abstractNumId="22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</w:abstractNum>
  <w:abstractNum w:abstractNumId="23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</w:lvl>
  </w:abstractNum>
  <w:abstractNum w:abstractNumId="24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</w:lvl>
  </w:abstractNum>
  <w:abstractNum w:abstractNumId="25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</w:lvl>
  </w:abstractNum>
  <w:abstractNum w:abstractNumId="26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</w:lvl>
  </w:abstractNum>
  <w:abstractNum w:abstractNumId="27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</w:abstractNum>
  <w:abstractNum w:abstractNumId="28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20"/>
  </w:num>
  <w:num w:numId="5">
    <w:abstractNumId w:val="4"/>
  </w:num>
  <w:num w:numId="6">
    <w:abstractNumId w:val="26"/>
  </w:num>
  <w:num w:numId="7">
    <w:abstractNumId w:val="28"/>
  </w:num>
  <w:num w:numId="8">
    <w:abstractNumId w:val="17"/>
  </w:num>
  <w:num w:numId="9">
    <w:abstractNumId w:val="25"/>
  </w:num>
  <w:num w:numId="10">
    <w:abstractNumId w:val="21"/>
  </w:num>
  <w:num w:numId="11">
    <w:abstractNumId w:val="15"/>
  </w:num>
  <w:num w:numId="12">
    <w:abstractNumId w:val="9"/>
  </w:num>
  <w:num w:numId="13">
    <w:abstractNumId w:val="8"/>
  </w:num>
  <w:num w:numId="14">
    <w:abstractNumId w:val="22"/>
  </w:num>
  <w:num w:numId="15">
    <w:abstractNumId w:val="27"/>
  </w:num>
  <w:num w:numId="16">
    <w:abstractNumId w:val="2"/>
  </w:num>
  <w:num w:numId="17">
    <w:abstractNumId w:val="10"/>
  </w:num>
  <w:num w:numId="18">
    <w:abstractNumId w:val="7"/>
  </w:num>
  <w:num w:numId="19">
    <w:abstractNumId w:val="11"/>
  </w:num>
  <w:num w:numId="20">
    <w:abstractNumId w:val="18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4"/>
  </w:num>
  <w:num w:numId="26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</w:num>
  <w:num w:numId="29">
    <w:abstractNumId w:val="5"/>
  </w:num>
  <w:num w:numId="30">
    <w:abstractNumId w:val="1"/>
  </w:num>
  <w:num w:numId="31">
    <w:abstractNumId w:val="13"/>
  </w:num>
  <w:num w:numId="32">
    <w:abstractNumId w:val="12"/>
  </w:num>
  <w:num w:numId="33">
    <w:abstractNumId w:val="2"/>
  </w:num>
  <w:num w:numId="34">
    <w:abstractNumId w:val="0"/>
  </w:num>
  <w:num w:numId="35">
    <w:abstractNumId w:val="2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  <w:endnote w:id="1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SEILEG\DocuWrite\Copylist"/>
    <w:docVar w:name="Council" w:val="true"/>
    <w:docVar w:name="DocuWriteMetaData" w:val="&lt;metadataset docuwriteversion=&quot;4.6.2&quot; technicalblockguid=&quot;4843882980303407739&quot;&gt;_x000d__x000a_  &lt;metadata key=&quot;md_DocumentLanguages&quot; translate=&quot;false&quot;&gt;_x000d__x000a_    &lt;basicdatatypelist&gt;_x000d__x000a_      &lt;language key=&quot;CS&quot; text=&quot;CS&quot; /&gt;_x000d__x000a_    &lt;/basicdatatypelist&gt;_x000d__x000a_  &lt;/metadata&gt;_x000d__x000a_  &lt;metadata key=&quot;md_OriginalLanguages&quot; translate=&quot;false&quot;&gt;_x000d__x000a_    &lt;basicdatatypelist&gt;_x000d__x000a_      &lt;language key=&quot;FR&quot; text=&quot;FR&quot; /&gt;_x000d__x000a_      &lt;language key=&quot;EN&quot; text=&quot;EN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36&quot; text=&quot;POZNÁMKA&quot; /&gt;_x000d__x000a_    &lt;/basicdatatype&gt;_x000d__x000a_  &lt;/metadata&gt;_x000d__x000a_  &lt;metadata key=&quot;md_HeadingText&quot; translate=&quot;false&quot;&gt;_x000d__x000a_    &lt;headingtext text=&quot;POZNÁMKA&quot;&gt;_x000d__x000a_      &lt;formattedtext&gt;_x000d__x000a_        &lt;xaml text=&quot;POZNÁMKA&quot;&gt;&amp;lt;FlowDocument xmlns=&quot;http://schemas.microsoft.com/winfx/2006/xaml/presentation&quot;&amp;gt;&amp;lt;Paragraph&amp;gt;POZNÁMK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7&quot; text=&quot;Note&quot; /&gt;_x000d__x000a_    &lt;/basicdatatype&gt;_x000d__x000a_  &lt;/metadata&gt;_x000d__x000a_  &lt;metadata key=&quot;md_DocumentType&quot; translate=&quot;fals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 translate=&quot;false&quot;&gt;_x000d__x000a_    &lt;text&gt;2022-03-18&lt;/text&gt;_x000d__x000a_  &lt;/metadata&gt;_x000d__x000a_  &lt;metadata key=&quot;md_Prefix&quot; translate=&quot;false&quot;&gt;_x000d__x000a_    &lt;text&gt;&lt;/text&gt;_x000d__x000a_  &lt;/metadata&gt;_x000d__x000a_  &lt;metadata key=&quot;md_DocumentNumber&quot; translate=&quot;false&quot;&gt;_x000d__x000a_    &lt;text&gt;6756&lt;/text&gt;_x000d__x000a_  &lt;/metadata&gt;_x000d__x000a_  &lt;metadata key=&quot;md_YearDocumentNumber&quot; translate=&quot;false&quot;&gt;_x000d__x000a_    &lt;text&gt;2022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2&quot; text=&quot;LIMITE&quot; /&gt;_x000d__x000a_    &lt;/basicdatatype&gt;_x000d__x000a_  &lt;/metadata&gt;_x000d__x000a_  &lt;metadata key=&quot;md_SubjectCodes&quot; translate=&quot;false&quot;&gt;_x000d__x000a_    &lt;textlist&gt;_x000d__x000a_      &lt;text&gt;CULT 20&lt;/text&gt;_x000d__x000a_      &lt;text&gt;SUSTDEV 47&lt;/text&gt;_x000d__x000a_      &lt;text&gt;DIGIT 42&lt;/text&gt;_x000d__x000a_      &lt;text&gt;SAN 122&lt;/text&gt;_x000d__x000a_      &lt;text&gt;EDUC 67&lt;/text&gt;_x000d__x000a_      &lt;text&gt;RECH 106&lt;/text&gt;_x000d__x000a_      &lt;text&gt;VISA 41&lt;/text&gt;_x000d__x000a_      &lt;text&gt;SOC 113&lt;/text&gt;_x000d__x000a_      &lt;text&gt;FISC 55&lt;/text&gt;_x000d__x000a_      &lt;text&gt;ENV 169&lt;/text&gt;_x000d__x000a_      &lt;text&gt;TRANS 115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 translate=&quot;false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DraftVersion&quot; translate=&quot;false&quot;&gt;_x000d__x000a_    &lt;text&gt;&lt;/text&gt;_x000d__x000a_  &lt;/metadata&gt;_x000d__x000a_  &lt;metadata key=&quot;md_Originator&quot; translate=&quot;false&quot;&gt;_x000d__x000a_    &lt;basicdatatype&gt;_x000d__x000a_      &lt;originator key=&quot;or_09&quot; text=&quot;Generální sekretariát Rady&quot; /&gt;_x000d__x000a_    &lt;/basicdatatype&gt;_x000d__x000a_  &lt;/metadata&gt;_x000d__x000a_  &lt;metadata key=&quot;md_Recipient&quot; translate=&quot;false&quot;&gt;_x000d__x000a_    &lt;basicdatatype&gt;_x000d__x000a_      &lt;recipient key=&quot;re_05&quot; text=&quot;Výbor stálých zástupc&amp;#367; / Rada&quot; /&gt;_x000d__x000a_    &lt;/basicdatatype&gt;_x000d__x000a_  &lt;/metadata&gt;_x000d__x000a_  &lt;metadata key=&quot;md_DateOfReceipt&quot; translate=&quot;false&quot;&gt;_x000d__x000a_    &lt;text&gt;&lt;/text&gt;_x000d__x000a_  &lt;/metadata&gt;_x000d__x000a_  &lt;metadata key=&quot;md_FreeDate&quot;&gt;_x000d__x000a_    &lt;textlist /&gt;_x000d__x000a_  &lt;/metadata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 translate=&quot;false&quot;&gt;_x000d__x000a_    &lt;text&gt;&lt;/text&gt;_x000d__x000a_  &lt;/metadata&gt;_x000d__x000a_  &lt;metadata key=&quot;md_MeetingInformation&quot; /&gt;_x000d__x000a_  &lt;metadata key=&quot;md_Item&quot; /&gt;_x000d__x000a_  &lt;metadata key=&quot;md_SubjectPrefix&quot; translate=&quot;false&quot;&gt;_x000d__x000a_    &lt;text&gt;&lt;/text&gt;_x000d__x000a_  &lt;/metadata&gt;_x000d__x000a_  &lt;metadata key=&quot;md_Subject&quot;&gt;_x000d__x000a_    &lt;xaml text=&quot;Návrh záv&amp;#283;r&amp;#367; Rady o posílení mezikulturních vým&amp;#283;n prost&amp;#345;ednictvím mobility um&amp;#283;lc&amp;#367; a pracovník&amp;#367; kulturního a kreativního odv&amp;#283;tví  a prost&amp;#345;ednictvím mnohojazy&amp;#269;nosti v digitální é&amp;#345;e &amp;#8211; schválení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 xml:space=&quot;preserve&quot;&amp;gt;Návrh záv&amp;#283;r&amp;#367; Rady o posílení mezikulturních vým&amp;#283;n prost&amp;#345;ednictvím mobility um&amp;#283;lc&amp;#367; a pracovník&amp;#367; kulturního a kreativního odv&amp;#283;tví &amp;lt;LineBreak /&amp;gt;a prost&amp;#345;ednictvím mnohojazy&amp;#269;nosti v digitální é&amp;#345;e&amp;lt;LineBreak /&amp;gt;&amp;#8211; &amp;lt;Run FontStyle=&quot;Italic&quot;&amp;gt;schválení&amp;lt;/Run&amp;gt;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TREE.1.B&lt;/text&gt;_x000d__x000a_  &lt;/metadata&gt;_x000d__x000a_  &lt;metadata key=&quot;md_Initials&quot; translate=&quot;false&quot;&gt;_x000d__x000a_    &lt;text&gt;el/AJ/vmu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22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22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translate=&quot;false&quot;&gt;_x000d__x000a_    &lt;text&gt;false&lt;/text&gt;_x000d__x000a_  &lt;/metadata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translate=&quot;false&quot;&gt;_x000d__x000a_    &lt;text&gt;fals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translate=&quot;false&quot;&gt;_x000d__x000a_    &lt;meetings /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COUNCIL"/>
    <w:docVar w:name="DW_DQC_HasErrors" w:val="true"/>
    <w:docVar w:name="DW_DQC_HasRepairableErrors" w:val="true"/>
    <w:docVar w:name="VSSDB_IniPath" w:val="\\at100\user\wovo\SEILEG\vss\srcsafe.ini"/>
    <w:docVar w:name="VSSDB_ProjectPath" w:val="$/DocuWrite/DOT/DW_COUNCIL"/>
  </w:docVars>
  <w:rsids>
    <w:rsidRoot w:val="00D10D5A"/>
    <w:rsid w:val="00046245"/>
    <w:rsid w:val="00082AD6"/>
    <w:rsid w:val="0010346B"/>
    <w:rsid w:val="00131BA1"/>
    <w:rsid w:val="0015726E"/>
    <w:rsid w:val="001837DE"/>
    <w:rsid w:val="001A7055"/>
    <w:rsid w:val="001B675E"/>
    <w:rsid w:val="001C3FC1"/>
    <w:rsid w:val="00206CB3"/>
    <w:rsid w:val="0026643E"/>
    <w:rsid w:val="002F7E11"/>
    <w:rsid w:val="003E16F0"/>
    <w:rsid w:val="004234AF"/>
    <w:rsid w:val="00511672"/>
    <w:rsid w:val="00551E70"/>
    <w:rsid w:val="00560050"/>
    <w:rsid w:val="00561C2F"/>
    <w:rsid w:val="00571A91"/>
    <w:rsid w:val="005A683E"/>
    <w:rsid w:val="005C52FC"/>
    <w:rsid w:val="006134A4"/>
    <w:rsid w:val="0062657E"/>
    <w:rsid w:val="0063312A"/>
    <w:rsid w:val="007536D2"/>
    <w:rsid w:val="00772954"/>
    <w:rsid w:val="007B0E08"/>
    <w:rsid w:val="007C1261"/>
    <w:rsid w:val="007C79C2"/>
    <w:rsid w:val="007E3DF2"/>
    <w:rsid w:val="007F69B9"/>
    <w:rsid w:val="00801972"/>
    <w:rsid w:val="008146F9"/>
    <w:rsid w:val="0082573E"/>
    <w:rsid w:val="008A3180"/>
    <w:rsid w:val="008A3A89"/>
    <w:rsid w:val="008A54B3"/>
    <w:rsid w:val="008B6014"/>
    <w:rsid w:val="008D3C9A"/>
    <w:rsid w:val="008D51AC"/>
    <w:rsid w:val="0095709A"/>
    <w:rsid w:val="00975B56"/>
    <w:rsid w:val="009930AF"/>
    <w:rsid w:val="009C6417"/>
    <w:rsid w:val="009C7DE7"/>
    <w:rsid w:val="00A62520"/>
    <w:rsid w:val="00A86F13"/>
    <w:rsid w:val="00A95646"/>
    <w:rsid w:val="00AB29BC"/>
    <w:rsid w:val="00B5488B"/>
    <w:rsid w:val="00B7181F"/>
    <w:rsid w:val="00B92652"/>
    <w:rsid w:val="00C22F5E"/>
    <w:rsid w:val="00C51015"/>
    <w:rsid w:val="00CB1590"/>
    <w:rsid w:val="00D10D5A"/>
    <w:rsid w:val="00D27465"/>
    <w:rsid w:val="00DA52FF"/>
    <w:rsid w:val="00DC2D5F"/>
    <w:rsid w:val="00DD1265"/>
    <w:rsid w:val="00E43AFE"/>
    <w:rsid w:val="00E70494"/>
    <w:rsid w:val="00EC3B25"/>
    <w:rsid w:val="00F74A14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88B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88B"/>
    <w:rPr>
      <w:rFonts w:ascii="Times New Roman" w:hAnsi="Times New Roman" w:cs="Times New Roman"/>
      <w:sz w:val="24"/>
      <w:shd w:val="clear" w:color="auto" w:fill="auto"/>
      <w:lang w:val="cs-CZ"/>
    </w:rPr>
  </w:style>
  <w:style w:type="paragraph" w:styleId="Zpat">
    <w:name w:val="footer"/>
    <w:basedOn w:val="Normln"/>
    <w:link w:val="Zpat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88B"/>
    <w:rPr>
      <w:rFonts w:ascii="Times New Roman" w:hAnsi="Times New Roman" w:cs="Times New Roman"/>
      <w:sz w:val="24"/>
      <w:shd w:val="clear" w:color="auto" w:fill="auto"/>
      <w:lang w:val="cs-CZ"/>
    </w:rPr>
  </w:style>
  <w:style w:type="paragraph" w:styleId="Textpoznpodarou">
    <w:name w:val="footnote text"/>
    <w:basedOn w:val="Normln"/>
    <w:link w:val="TextpoznpodarouChar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9C6417"/>
    <w:rPr>
      <w:rFonts w:ascii="Times New Roman" w:hAnsi="Times New Roman" w:cs="Times New Roman"/>
      <w:sz w:val="24"/>
      <w:szCs w:val="20"/>
      <w:shd w:val="clear" w:color="auto" w:fill="auto"/>
      <w:lang w:val="cs-CZ"/>
    </w:rPr>
  </w:style>
  <w:style w:type="paragraph" w:customStyle="1" w:styleId="NormalCentered">
    <w:name w:val="Normal Centered"/>
    <w:basedOn w:val="Normln"/>
    <w:rsid w:val="009C6417"/>
    <w:pPr>
      <w:spacing w:before="200"/>
      <w:jc w:val="center"/>
    </w:pPr>
  </w:style>
  <w:style w:type="paragraph" w:customStyle="1" w:styleId="NormalRight">
    <w:name w:val="Normal Right"/>
    <w:basedOn w:val="Normln"/>
    <w:rsid w:val="009C6417"/>
    <w:pPr>
      <w:spacing w:before="200"/>
      <w:jc w:val="right"/>
    </w:pPr>
  </w:style>
  <w:style w:type="paragraph" w:customStyle="1" w:styleId="NormalJustified">
    <w:name w:val="Normal Justified"/>
    <w:basedOn w:val="Normln"/>
    <w:rsid w:val="009C6417"/>
    <w:pPr>
      <w:spacing w:before="200"/>
      <w:jc w:val="both"/>
    </w:pPr>
  </w:style>
  <w:style w:type="paragraph" w:customStyle="1" w:styleId="HeaderLandscape">
    <w:name w:val="HeaderLandscape"/>
    <w:basedOn w:val="Normln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ln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unhideWhenUsed/>
    <w:qFormat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link w:val="TechnicalBlockChar"/>
    <w:rsid w:val="008A3180"/>
    <w:pPr>
      <w:spacing w:before="0" w:after="240" w:line="240" w:lineRule="auto"/>
      <w:jc w:val="center"/>
    </w:pPr>
  </w:style>
  <w:style w:type="paragraph" w:customStyle="1" w:styleId="FinalLine">
    <w:name w:val="Final Line"/>
    <w:basedOn w:val="Normln"/>
    <w:next w:val="Normln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ln"/>
    <w:next w:val="Normln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ln"/>
    <w:rsid w:val="009C6417"/>
    <w:pPr>
      <w:ind w:left="567"/>
    </w:pPr>
  </w:style>
  <w:style w:type="paragraph" w:customStyle="1" w:styleId="Text2">
    <w:name w:val="Text 2"/>
    <w:basedOn w:val="Normln"/>
    <w:rsid w:val="009C6417"/>
    <w:pPr>
      <w:ind w:left="1134"/>
    </w:pPr>
  </w:style>
  <w:style w:type="paragraph" w:customStyle="1" w:styleId="Text3">
    <w:name w:val="Text 3"/>
    <w:basedOn w:val="Normln"/>
    <w:rsid w:val="009C6417"/>
    <w:pPr>
      <w:ind w:left="1701"/>
    </w:pPr>
  </w:style>
  <w:style w:type="paragraph" w:customStyle="1" w:styleId="Text4">
    <w:name w:val="Text 4"/>
    <w:basedOn w:val="Normln"/>
    <w:rsid w:val="009C6417"/>
    <w:pPr>
      <w:ind w:left="2268"/>
    </w:pPr>
  </w:style>
  <w:style w:type="paragraph" w:customStyle="1" w:styleId="Text5">
    <w:name w:val="Text 5"/>
    <w:basedOn w:val="Normln"/>
    <w:rsid w:val="009C6417"/>
    <w:pPr>
      <w:ind w:left="2835"/>
    </w:pPr>
  </w:style>
  <w:style w:type="paragraph" w:customStyle="1" w:styleId="Text6">
    <w:name w:val="Text 6"/>
    <w:basedOn w:val="Normln"/>
    <w:rsid w:val="009C6417"/>
    <w:pPr>
      <w:ind w:left="3402"/>
    </w:pPr>
  </w:style>
  <w:style w:type="paragraph" w:customStyle="1" w:styleId="PointManual">
    <w:name w:val="Point Manual"/>
    <w:basedOn w:val="Normln"/>
    <w:rsid w:val="009C6417"/>
    <w:pPr>
      <w:ind w:left="567" w:hanging="567"/>
    </w:pPr>
  </w:style>
  <w:style w:type="paragraph" w:customStyle="1" w:styleId="PointManual1">
    <w:name w:val="Point Manual (1)"/>
    <w:basedOn w:val="Normln"/>
    <w:rsid w:val="009C6417"/>
    <w:pPr>
      <w:ind w:left="1134" w:hanging="567"/>
    </w:pPr>
  </w:style>
  <w:style w:type="paragraph" w:customStyle="1" w:styleId="PointManual2">
    <w:name w:val="Point Manual (2)"/>
    <w:basedOn w:val="Normln"/>
    <w:rsid w:val="009C6417"/>
    <w:pPr>
      <w:ind w:left="1701" w:hanging="567"/>
    </w:pPr>
  </w:style>
  <w:style w:type="paragraph" w:customStyle="1" w:styleId="PointManual3">
    <w:name w:val="Point Manual (3)"/>
    <w:basedOn w:val="Normln"/>
    <w:rsid w:val="009C6417"/>
    <w:pPr>
      <w:ind w:left="2268" w:hanging="567"/>
    </w:pPr>
  </w:style>
  <w:style w:type="paragraph" w:customStyle="1" w:styleId="PointManual4">
    <w:name w:val="Point Manual (4)"/>
    <w:basedOn w:val="Normln"/>
    <w:rsid w:val="009C6417"/>
    <w:pPr>
      <w:ind w:left="2835" w:hanging="567"/>
    </w:pPr>
  </w:style>
  <w:style w:type="paragraph" w:customStyle="1" w:styleId="PointDoubleManual">
    <w:name w:val="Point Double Manual"/>
    <w:basedOn w:val="Normln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ln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ln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ln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ln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ln"/>
    <w:rsid w:val="009C6417"/>
    <w:pPr>
      <w:numPr>
        <w:ilvl w:val="1"/>
        <w:numId w:val="33"/>
      </w:numPr>
    </w:pPr>
  </w:style>
  <w:style w:type="paragraph" w:customStyle="1" w:styleId="Pointabc1">
    <w:name w:val="Point abc (1)"/>
    <w:basedOn w:val="Normln"/>
    <w:rsid w:val="009C6417"/>
    <w:pPr>
      <w:numPr>
        <w:ilvl w:val="3"/>
        <w:numId w:val="33"/>
      </w:numPr>
    </w:pPr>
  </w:style>
  <w:style w:type="paragraph" w:customStyle="1" w:styleId="Pointabc2">
    <w:name w:val="Point abc (2)"/>
    <w:basedOn w:val="Normln"/>
    <w:rsid w:val="009C6417"/>
    <w:pPr>
      <w:numPr>
        <w:ilvl w:val="5"/>
        <w:numId w:val="33"/>
      </w:numPr>
    </w:pPr>
  </w:style>
  <w:style w:type="paragraph" w:customStyle="1" w:styleId="Pointabc3">
    <w:name w:val="Point abc (3)"/>
    <w:basedOn w:val="Normln"/>
    <w:rsid w:val="009C6417"/>
    <w:pPr>
      <w:numPr>
        <w:ilvl w:val="7"/>
        <w:numId w:val="33"/>
      </w:numPr>
    </w:pPr>
  </w:style>
  <w:style w:type="paragraph" w:customStyle="1" w:styleId="Pointabc4">
    <w:name w:val="Point abc (4)"/>
    <w:basedOn w:val="Normln"/>
    <w:rsid w:val="009C6417"/>
    <w:pPr>
      <w:numPr>
        <w:ilvl w:val="8"/>
        <w:numId w:val="33"/>
      </w:numPr>
    </w:pPr>
  </w:style>
  <w:style w:type="paragraph" w:customStyle="1" w:styleId="Point123">
    <w:name w:val="Point 123"/>
    <w:basedOn w:val="Normln"/>
    <w:rsid w:val="009C6417"/>
    <w:pPr>
      <w:numPr>
        <w:numId w:val="33"/>
      </w:numPr>
    </w:pPr>
  </w:style>
  <w:style w:type="paragraph" w:customStyle="1" w:styleId="Point1231">
    <w:name w:val="Point 123 (1)"/>
    <w:basedOn w:val="Normln"/>
    <w:rsid w:val="009C6417"/>
    <w:pPr>
      <w:numPr>
        <w:ilvl w:val="2"/>
        <w:numId w:val="33"/>
      </w:numPr>
    </w:pPr>
  </w:style>
  <w:style w:type="paragraph" w:customStyle="1" w:styleId="Point1232">
    <w:name w:val="Point 123 (2)"/>
    <w:basedOn w:val="Normln"/>
    <w:rsid w:val="009C6417"/>
    <w:pPr>
      <w:numPr>
        <w:ilvl w:val="4"/>
        <w:numId w:val="33"/>
      </w:numPr>
    </w:pPr>
  </w:style>
  <w:style w:type="paragraph" w:customStyle="1" w:styleId="Point1233">
    <w:name w:val="Point 123 (3)"/>
    <w:basedOn w:val="Normln"/>
    <w:rsid w:val="009C6417"/>
    <w:pPr>
      <w:numPr>
        <w:ilvl w:val="6"/>
        <w:numId w:val="33"/>
      </w:numPr>
    </w:pPr>
  </w:style>
  <w:style w:type="paragraph" w:customStyle="1" w:styleId="Pointivx">
    <w:name w:val="Point ivx"/>
    <w:basedOn w:val="Normln"/>
    <w:rsid w:val="009C6417"/>
    <w:pPr>
      <w:numPr>
        <w:numId w:val="17"/>
      </w:numPr>
    </w:pPr>
  </w:style>
  <w:style w:type="paragraph" w:customStyle="1" w:styleId="Pointivx1">
    <w:name w:val="Point ivx (1)"/>
    <w:basedOn w:val="Normln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ln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ln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ln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ln"/>
    <w:rsid w:val="009C6417"/>
    <w:pPr>
      <w:numPr>
        <w:numId w:val="11"/>
      </w:numPr>
    </w:pPr>
  </w:style>
  <w:style w:type="paragraph" w:customStyle="1" w:styleId="Bullet1">
    <w:name w:val="Bullet 1"/>
    <w:basedOn w:val="Normln"/>
    <w:rsid w:val="009C6417"/>
    <w:pPr>
      <w:numPr>
        <w:numId w:val="12"/>
      </w:numPr>
    </w:pPr>
  </w:style>
  <w:style w:type="paragraph" w:customStyle="1" w:styleId="Bullet2">
    <w:name w:val="Bullet 2"/>
    <w:basedOn w:val="Normln"/>
    <w:rsid w:val="009C6417"/>
    <w:pPr>
      <w:numPr>
        <w:numId w:val="13"/>
      </w:numPr>
    </w:pPr>
  </w:style>
  <w:style w:type="paragraph" w:customStyle="1" w:styleId="Bullet3">
    <w:name w:val="Bullet 3"/>
    <w:basedOn w:val="Normln"/>
    <w:rsid w:val="009C6417"/>
    <w:pPr>
      <w:numPr>
        <w:numId w:val="14"/>
      </w:numPr>
    </w:pPr>
  </w:style>
  <w:style w:type="paragraph" w:customStyle="1" w:styleId="Bullet4">
    <w:name w:val="Bullet 4"/>
    <w:basedOn w:val="Normln"/>
    <w:rsid w:val="009C6417"/>
    <w:pPr>
      <w:numPr>
        <w:numId w:val="15"/>
      </w:numPr>
    </w:pPr>
  </w:style>
  <w:style w:type="paragraph" w:customStyle="1" w:styleId="Dash">
    <w:name w:val="Dash"/>
    <w:basedOn w:val="Normln"/>
    <w:rsid w:val="009C6417"/>
    <w:pPr>
      <w:numPr>
        <w:numId w:val="1"/>
      </w:numPr>
    </w:pPr>
  </w:style>
  <w:style w:type="paragraph" w:customStyle="1" w:styleId="Dash1">
    <w:name w:val="Dash 1"/>
    <w:basedOn w:val="Normln"/>
    <w:rsid w:val="009C6417"/>
    <w:pPr>
      <w:numPr>
        <w:numId w:val="2"/>
      </w:numPr>
    </w:pPr>
  </w:style>
  <w:style w:type="paragraph" w:customStyle="1" w:styleId="Dash2">
    <w:name w:val="Dash 2"/>
    <w:basedOn w:val="Normln"/>
    <w:rsid w:val="009C6417"/>
    <w:pPr>
      <w:numPr>
        <w:numId w:val="3"/>
      </w:numPr>
    </w:pPr>
  </w:style>
  <w:style w:type="paragraph" w:customStyle="1" w:styleId="Dash3">
    <w:name w:val="Dash 3"/>
    <w:basedOn w:val="Normln"/>
    <w:rsid w:val="009C6417"/>
    <w:pPr>
      <w:numPr>
        <w:numId w:val="4"/>
      </w:numPr>
    </w:pPr>
  </w:style>
  <w:style w:type="paragraph" w:customStyle="1" w:styleId="Dash4">
    <w:name w:val="Dash 4"/>
    <w:basedOn w:val="Normln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Standardnpsmoodstavce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Standardnpsmoodstavce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ln"/>
    <w:next w:val="Normln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ln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ln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ln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ln"/>
    <w:rsid w:val="009C6417"/>
    <w:pPr>
      <w:jc w:val="center"/>
    </w:pPr>
  </w:style>
  <w:style w:type="paragraph" w:customStyle="1" w:styleId="Jardin">
    <w:name w:val="Jardin"/>
    <w:basedOn w:val="Normln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ln"/>
    <w:next w:val="Normln"/>
    <w:rsid w:val="009C6417"/>
    <w:rPr>
      <w:i/>
      <w:u w:val="single"/>
    </w:rPr>
  </w:style>
  <w:style w:type="paragraph" w:customStyle="1" w:styleId="AmendmentList">
    <w:name w:val="Amendment List"/>
    <w:basedOn w:val="Normln"/>
    <w:rsid w:val="009C6417"/>
    <w:pPr>
      <w:ind w:left="2268" w:hanging="2268"/>
    </w:pPr>
  </w:style>
  <w:style w:type="paragraph" w:customStyle="1" w:styleId="ReplyRE">
    <w:name w:val="Reply RE"/>
    <w:basedOn w:val="Normln"/>
    <w:next w:val="Normln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ln"/>
    <w:rsid w:val="009C6417"/>
    <w:rPr>
      <w:b/>
    </w:rPr>
  </w:style>
  <w:style w:type="paragraph" w:customStyle="1" w:styleId="Annex">
    <w:name w:val="Annex"/>
    <w:basedOn w:val="Normln"/>
    <w:next w:val="Normln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ln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ln"/>
    <w:next w:val="Normln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Standardnpsmoodstavce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ln"/>
    <w:next w:val="Normln"/>
    <w:rsid w:val="009C6417"/>
    <w:pPr>
      <w:spacing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675E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675E"/>
    <w:rPr>
      <w:rFonts w:ascii="Times New Roman" w:hAnsi="Times New Roman" w:cs="Times New Roman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B675E"/>
    <w:rPr>
      <w:vertAlign w:val="superscript"/>
    </w:rPr>
  </w:style>
  <w:style w:type="paragraph" w:customStyle="1" w:styleId="HeaderCouncilLarge">
    <w:name w:val="Header Council Large"/>
    <w:basedOn w:val="Normln"/>
    <w:link w:val="HeaderCouncilLargeChar"/>
    <w:rsid w:val="00D10D5A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rdnpsmoodstavce"/>
    <w:link w:val="TechnicalBlock"/>
    <w:rsid w:val="00D10D5A"/>
    <w:rPr>
      <w:rFonts w:ascii="Times New Roman" w:hAnsi="Times New Roman" w:cs="Times New Roman"/>
      <w:sz w:val="24"/>
    </w:rPr>
  </w:style>
  <w:style w:type="character" w:customStyle="1" w:styleId="HeaderCouncilLargeChar">
    <w:name w:val="Header Council Large Char"/>
    <w:basedOn w:val="TechnicalBlockChar"/>
    <w:link w:val="HeaderCouncilLarge"/>
    <w:rsid w:val="00D10D5A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ln"/>
    <w:rsid w:val="00D10D5A"/>
    <w:pPr>
      <w:spacing w:before="0" w:after="0" w:line="240" w:lineRule="auto"/>
    </w:pPr>
    <w:rPr>
      <w:rFonts w:eastAsia="Times New Roman"/>
      <w:szCs w:val="24"/>
    </w:rPr>
  </w:style>
  <w:style w:type="character" w:styleId="Zstupntext">
    <w:name w:val="Placeholder Text"/>
    <w:basedOn w:val="Standardnpsmoodstavce"/>
    <w:uiPriority w:val="99"/>
    <w:semiHidden/>
    <w:rsid w:val="00D10D5A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7E3DF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3DF2"/>
    <w:pPr>
      <w:ind w:left="720"/>
      <w:contextualSpacing/>
    </w:pPr>
  </w:style>
  <w:style w:type="paragraph" w:customStyle="1" w:styleId="Default">
    <w:name w:val="Default"/>
    <w:rsid w:val="007E3D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26E"/>
    <w:rPr>
      <w:rFonts w:ascii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726E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2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26E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before="120" w:after="120" w:line="360" w:lineRule="auto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488B"/>
    <w:pPr>
      <w:tabs>
        <w:tab w:val="right" w:pos="9638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488B"/>
    <w:rPr>
      <w:rFonts w:ascii="Times New Roman" w:hAnsi="Times New Roman" w:cs="Times New Roman"/>
      <w:sz w:val="24"/>
      <w:shd w:val="clear" w:color="auto" w:fill="auto"/>
      <w:lang w:val="cs-CZ"/>
    </w:rPr>
  </w:style>
  <w:style w:type="paragraph" w:styleId="Zpat">
    <w:name w:val="footer"/>
    <w:basedOn w:val="Normln"/>
    <w:link w:val="ZpatChar"/>
    <w:uiPriority w:val="99"/>
    <w:unhideWhenUsed/>
    <w:rsid w:val="00B5488B"/>
    <w:pPr>
      <w:tabs>
        <w:tab w:val="center" w:pos="4819"/>
        <w:tab w:val="center" w:pos="7370"/>
        <w:tab w:val="right" w:pos="9638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88B"/>
    <w:rPr>
      <w:rFonts w:ascii="Times New Roman" w:hAnsi="Times New Roman" w:cs="Times New Roman"/>
      <w:sz w:val="24"/>
      <w:shd w:val="clear" w:color="auto" w:fill="auto"/>
      <w:lang w:val="cs-CZ"/>
    </w:rPr>
  </w:style>
  <w:style w:type="paragraph" w:styleId="Textpoznpodarou">
    <w:name w:val="footnote text"/>
    <w:basedOn w:val="Normln"/>
    <w:link w:val="TextpoznpodarouChar"/>
    <w:unhideWhenUsed/>
    <w:rsid w:val="009C6417"/>
    <w:pPr>
      <w:spacing w:before="0" w:after="0" w:line="240" w:lineRule="auto"/>
      <w:ind w:left="720" w:hanging="72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9C6417"/>
    <w:rPr>
      <w:rFonts w:ascii="Times New Roman" w:hAnsi="Times New Roman" w:cs="Times New Roman"/>
      <w:sz w:val="24"/>
      <w:szCs w:val="20"/>
      <w:shd w:val="clear" w:color="auto" w:fill="auto"/>
      <w:lang w:val="cs-CZ"/>
    </w:rPr>
  </w:style>
  <w:style w:type="paragraph" w:customStyle="1" w:styleId="NormalCentered">
    <w:name w:val="Normal Centered"/>
    <w:basedOn w:val="Normln"/>
    <w:rsid w:val="009C6417"/>
    <w:pPr>
      <w:spacing w:before="200"/>
      <w:jc w:val="center"/>
    </w:pPr>
  </w:style>
  <w:style w:type="paragraph" w:customStyle="1" w:styleId="NormalRight">
    <w:name w:val="Normal Right"/>
    <w:basedOn w:val="Normln"/>
    <w:rsid w:val="009C6417"/>
    <w:pPr>
      <w:spacing w:before="200"/>
      <w:jc w:val="right"/>
    </w:pPr>
  </w:style>
  <w:style w:type="paragraph" w:customStyle="1" w:styleId="NormalJustified">
    <w:name w:val="Normal Justified"/>
    <w:basedOn w:val="Normln"/>
    <w:rsid w:val="009C6417"/>
    <w:pPr>
      <w:spacing w:before="200"/>
      <w:jc w:val="both"/>
    </w:pPr>
  </w:style>
  <w:style w:type="paragraph" w:customStyle="1" w:styleId="HeaderLandscape">
    <w:name w:val="HeaderLandscape"/>
    <w:basedOn w:val="Normln"/>
    <w:rsid w:val="009C6417"/>
    <w:pPr>
      <w:tabs>
        <w:tab w:val="right" w:pos="14570"/>
      </w:tabs>
    </w:pPr>
  </w:style>
  <w:style w:type="paragraph" w:customStyle="1" w:styleId="FooterLandscape">
    <w:name w:val="FooterLandscape"/>
    <w:basedOn w:val="Normln"/>
    <w:rsid w:val="009C6417"/>
    <w:pPr>
      <w:tabs>
        <w:tab w:val="center" w:pos="7285"/>
        <w:tab w:val="center" w:pos="10930"/>
        <w:tab w:val="right" w:pos="14570"/>
      </w:tabs>
      <w:spacing w:before="0" w:after="0" w:line="240" w:lineRule="auto"/>
    </w:pPr>
  </w:style>
  <w:style w:type="character" w:styleId="Znakapoznpodarou">
    <w:name w:val="footnote reference"/>
    <w:basedOn w:val="Standardnpsmoodstavce"/>
    <w:uiPriority w:val="99"/>
    <w:unhideWhenUsed/>
    <w:qFormat/>
    <w:rsid w:val="009C6417"/>
    <w:rPr>
      <w:b/>
      <w:shd w:val="clear" w:color="auto" w:fill="auto"/>
      <w:vertAlign w:val="superscript"/>
    </w:rPr>
  </w:style>
  <w:style w:type="paragraph" w:customStyle="1" w:styleId="HeaderCouncil">
    <w:name w:val="Header Council"/>
    <w:basedOn w:val="Normln"/>
    <w:rsid w:val="009C6417"/>
    <w:pPr>
      <w:spacing w:before="0" w:after="0" w:line="240" w:lineRule="auto"/>
    </w:pPr>
    <w:rPr>
      <w:sz w:val="2"/>
    </w:rPr>
  </w:style>
  <w:style w:type="paragraph" w:customStyle="1" w:styleId="FooterCouncil">
    <w:name w:val="Footer Council"/>
    <w:basedOn w:val="Normln"/>
    <w:rsid w:val="009C6417"/>
    <w:pPr>
      <w:spacing w:before="0" w:after="0" w:line="240" w:lineRule="auto"/>
    </w:pPr>
    <w:rPr>
      <w:sz w:val="2"/>
    </w:rPr>
  </w:style>
  <w:style w:type="paragraph" w:customStyle="1" w:styleId="TechnicalBlock">
    <w:name w:val="Technical Block"/>
    <w:basedOn w:val="Normln"/>
    <w:next w:val="Normln"/>
    <w:link w:val="TechnicalBlockChar"/>
    <w:rsid w:val="008A3180"/>
    <w:pPr>
      <w:spacing w:before="0" w:after="240" w:line="240" w:lineRule="auto"/>
      <w:jc w:val="center"/>
    </w:pPr>
  </w:style>
  <w:style w:type="paragraph" w:customStyle="1" w:styleId="FinalLine">
    <w:name w:val="Final Line"/>
    <w:basedOn w:val="Normln"/>
    <w:next w:val="Normln"/>
    <w:rsid w:val="009C6417"/>
    <w:pPr>
      <w:pBdr>
        <w:bottom w:val="single" w:sz="4" w:space="0" w:color="000000"/>
      </w:pBdr>
      <w:spacing w:before="36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ln"/>
    <w:next w:val="Normln"/>
    <w:rsid w:val="009C6417"/>
    <w:pPr>
      <w:pBdr>
        <w:bottom w:val="single" w:sz="4" w:space="0" w:color="000000"/>
      </w:pBdr>
      <w:spacing w:before="360"/>
      <w:ind w:left="5868" w:right="5868"/>
      <w:jc w:val="center"/>
    </w:pPr>
    <w:rPr>
      <w:b/>
    </w:rPr>
  </w:style>
  <w:style w:type="paragraph" w:customStyle="1" w:styleId="Text1">
    <w:name w:val="Text 1"/>
    <w:basedOn w:val="Normln"/>
    <w:rsid w:val="009C6417"/>
    <w:pPr>
      <w:ind w:left="567"/>
    </w:pPr>
  </w:style>
  <w:style w:type="paragraph" w:customStyle="1" w:styleId="Text2">
    <w:name w:val="Text 2"/>
    <w:basedOn w:val="Normln"/>
    <w:rsid w:val="009C6417"/>
    <w:pPr>
      <w:ind w:left="1134"/>
    </w:pPr>
  </w:style>
  <w:style w:type="paragraph" w:customStyle="1" w:styleId="Text3">
    <w:name w:val="Text 3"/>
    <w:basedOn w:val="Normln"/>
    <w:rsid w:val="009C6417"/>
    <w:pPr>
      <w:ind w:left="1701"/>
    </w:pPr>
  </w:style>
  <w:style w:type="paragraph" w:customStyle="1" w:styleId="Text4">
    <w:name w:val="Text 4"/>
    <w:basedOn w:val="Normln"/>
    <w:rsid w:val="009C6417"/>
    <w:pPr>
      <w:ind w:left="2268"/>
    </w:pPr>
  </w:style>
  <w:style w:type="paragraph" w:customStyle="1" w:styleId="Text5">
    <w:name w:val="Text 5"/>
    <w:basedOn w:val="Normln"/>
    <w:rsid w:val="009C6417"/>
    <w:pPr>
      <w:ind w:left="2835"/>
    </w:pPr>
  </w:style>
  <w:style w:type="paragraph" w:customStyle="1" w:styleId="Text6">
    <w:name w:val="Text 6"/>
    <w:basedOn w:val="Normln"/>
    <w:rsid w:val="009C6417"/>
    <w:pPr>
      <w:ind w:left="3402"/>
    </w:pPr>
  </w:style>
  <w:style w:type="paragraph" w:customStyle="1" w:styleId="PointManual">
    <w:name w:val="Point Manual"/>
    <w:basedOn w:val="Normln"/>
    <w:rsid w:val="009C6417"/>
    <w:pPr>
      <w:ind w:left="567" w:hanging="567"/>
    </w:pPr>
  </w:style>
  <w:style w:type="paragraph" w:customStyle="1" w:styleId="PointManual1">
    <w:name w:val="Point Manual (1)"/>
    <w:basedOn w:val="Normln"/>
    <w:rsid w:val="009C6417"/>
    <w:pPr>
      <w:ind w:left="1134" w:hanging="567"/>
    </w:pPr>
  </w:style>
  <w:style w:type="paragraph" w:customStyle="1" w:styleId="PointManual2">
    <w:name w:val="Point Manual (2)"/>
    <w:basedOn w:val="Normln"/>
    <w:rsid w:val="009C6417"/>
    <w:pPr>
      <w:ind w:left="1701" w:hanging="567"/>
    </w:pPr>
  </w:style>
  <w:style w:type="paragraph" w:customStyle="1" w:styleId="PointManual3">
    <w:name w:val="Point Manual (3)"/>
    <w:basedOn w:val="Normln"/>
    <w:rsid w:val="009C6417"/>
    <w:pPr>
      <w:ind w:left="2268" w:hanging="567"/>
    </w:pPr>
  </w:style>
  <w:style w:type="paragraph" w:customStyle="1" w:styleId="PointManual4">
    <w:name w:val="Point Manual (4)"/>
    <w:basedOn w:val="Normln"/>
    <w:rsid w:val="009C6417"/>
    <w:pPr>
      <w:ind w:left="2835" w:hanging="567"/>
    </w:pPr>
  </w:style>
  <w:style w:type="paragraph" w:customStyle="1" w:styleId="PointDoubleManual">
    <w:name w:val="Point Double Manual"/>
    <w:basedOn w:val="Normln"/>
    <w:rsid w:val="009C6417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ln"/>
    <w:rsid w:val="009C6417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ln"/>
    <w:rsid w:val="009C6417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ln"/>
    <w:rsid w:val="009C6417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ln"/>
    <w:rsid w:val="009C6417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ln"/>
    <w:rsid w:val="009C6417"/>
    <w:pPr>
      <w:numPr>
        <w:ilvl w:val="1"/>
        <w:numId w:val="33"/>
      </w:numPr>
    </w:pPr>
  </w:style>
  <w:style w:type="paragraph" w:customStyle="1" w:styleId="Pointabc1">
    <w:name w:val="Point abc (1)"/>
    <w:basedOn w:val="Normln"/>
    <w:rsid w:val="009C6417"/>
    <w:pPr>
      <w:numPr>
        <w:ilvl w:val="3"/>
        <w:numId w:val="33"/>
      </w:numPr>
    </w:pPr>
  </w:style>
  <w:style w:type="paragraph" w:customStyle="1" w:styleId="Pointabc2">
    <w:name w:val="Point abc (2)"/>
    <w:basedOn w:val="Normln"/>
    <w:rsid w:val="009C6417"/>
    <w:pPr>
      <w:numPr>
        <w:ilvl w:val="5"/>
        <w:numId w:val="33"/>
      </w:numPr>
    </w:pPr>
  </w:style>
  <w:style w:type="paragraph" w:customStyle="1" w:styleId="Pointabc3">
    <w:name w:val="Point abc (3)"/>
    <w:basedOn w:val="Normln"/>
    <w:rsid w:val="009C6417"/>
    <w:pPr>
      <w:numPr>
        <w:ilvl w:val="7"/>
        <w:numId w:val="33"/>
      </w:numPr>
    </w:pPr>
  </w:style>
  <w:style w:type="paragraph" w:customStyle="1" w:styleId="Pointabc4">
    <w:name w:val="Point abc (4)"/>
    <w:basedOn w:val="Normln"/>
    <w:rsid w:val="009C6417"/>
    <w:pPr>
      <w:numPr>
        <w:ilvl w:val="8"/>
        <w:numId w:val="33"/>
      </w:numPr>
    </w:pPr>
  </w:style>
  <w:style w:type="paragraph" w:customStyle="1" w:styleId="Point123">
    <w:name w:val="Point 123"/>
    <w:basedOn w:val="Normln"/>
    <w:rsid w:val="009C6417"/>
    <w:pPr>
      <w:numPr>
        <w:numId w:val="33"/>
      </w:numPr>
    </w:pPr>
  </w:style>
  <w:style w:type="paragraph" w:customStyle="1" w:styleId="Point1231">
    <w:name w:val="Point 123 (1)"/>
    <w:basedOn w:val="Normln"/>
    <w:rsid w:val="009C6417"/>
    <w:pPr>
      <w:numPr>
        <w:ilvl w:val="2"/>
        <w:numId w:val="33"/>
      </w:numPr>
    </w:pPr>
  </w:style>
  <w:style w:type="paragraph" w:customStyle="1" w:styleId="Point1232">
    <w:name w:val="Point 123 (2)"/>
    <w:basedOn w:val="Normln"/>
    <w:rsid w:val="009C6417"/>
    <w:pPr>
      <w:numPr>
        <w:ilvl w:val="4"/>
        <w:numId w:val="33"/>
      </w:numPr>
    </w:pPr>
  </w:style>
  <w:style w:type="paragraph" w:customStyle="1" w:styleId="Point1233">
    <w:name w:val="Point 123 (3)"/>
    <w:basedOn w:val="Normln"/>
    <w:rsid w:val="009C6417"/>
    <w:pPr>
      <w:numPr>
        <w:ilvl w:val="6"/>
        <w:numId w:val="33"/>
      </w:numPr>
    </w:pPr>
  </w:style>
  <w:style w:type="paragraph" w:customStyle="1" w:styleId="Pointivx">
    <w:name w:val="Point ivx"/>
    <w:basedOn w:val="Normln"/>
    <w:rsid w:val="009C6417"/>
    <w:pPr>
      <w:numPr>
        <w:numId w:val="17"/>
      </w:numPr>
    </w:pPr>
  </w:style>
  <w:style w:type="paragraph" w:customStyle="1" w:styleId="Pointivx1">
    <w:name w:val="Point ivx (1)"/>
    <w:basedOn w:val="Normln"/>
    <w:rsid w:val="009C6417"/>
    <w:pPr>
      <w:numPr>
        <w:ilvl w:val="1"/>
        <w:numId w:val="17"/>
      </w:numPr>
    </w:pPr>
  </w:style>
  <w:style w:type="paragraph" w:customStyle="1" w:styleId="Pointivx2">
    <w:name w:val="Point ivx (2)"/>
    <w:basedOn w:val="Normln"/>
    <w:rsid w:val="009C6417"/>
    <w:pPr>
      <w:numPr>
        <w:ilvl w:val="2"/>
        <w:numId w:val="17"/>
      </w:numPr>
    </w:pPr>
  </w:style>
  <w:style w:type="paragraph" w:customStyle="1" w:styleId="Pointivx3">
    <w:name w:val="Point ivx (3)"/>
    <w:basedOn w:val="Normln"/>
    <w:rsid w:val="009C6417"/>
    <w:pPr>
      <w:numPr>
        <w:ilvl w:val="3"/>
        <w:numId w:val="17"/>
      </w:numPr>
    </w:pPr>
  </w:style>
  <w:style w:type="paragraph" w:customStyle="1" w:styleId="Pointivx4">
    <w:name w:val="Point ivx (4)"/>
    <w:basedOn w:val="Normln"/>
    <w:rsid w:val="009C6417"/>
    <w:pPr>
      <w:numPr>
        <w:ilvl w:val="4"/>
        <w:numId w:val="17"/>
      </w:numPr>
    </w:pPr>
  </w:style>
  <w:style w:type="paragraph" w:customStyle="1" w:styleId="Bullet">
    <w:name w:val="Bullet"/>
    <w:basedOn w:val="Normln"/>
    <w:rsid w:val="009C6417"/>
    <w:pPr>
      <w:numPr>
        <w:numId w:val="11"/>
      </w:numPr>
    </w:pPr>
  </w:style>
  <w:style w:type="paragraph" w:customStyle="1" w:styleId="Bullet1">
    <w:name w:val="Bullet 1"/>
    <w:basedOn w:val="Normln"/>
    <w:rsid w:val="009C6417"/>
    <w:pPr>
      <w:numPr>
        <w:numId w:val="12"/>
      </w:numPr>
    </w:pPr>
  </w:style>
  <w:style w:type="paragraph" w:customStyle="1" w:styleId="Bullet2">
    <w:name w:val="Bullet 2"/>
    <w:basedOn w:val="Normln"/>
    <w:rsid w:val="009C6417"/>
    <w:pPr>
      <w:numPr>
        <w:numId w:val="13"/>
      </w:numPr>
    </w:pPr>
  </w:style>
  <w:style w:type="paragraph" w:customStyle="1" w:styleId="Bullet3">
    <w:name w:val="Bullet 3"/>
    <w:basedOn w:val="Normln"/>
    <w:rsid w:val="009C6417"/>
    <w:pPr>
      <w:numPr>
        <w:numId w:val="14"/>
      </w:numPr>
    </w:pPr>
  </w:style>
  <w:style w:type="paragraph" w:customStyle="1" w:styleId="Bullet4">
    <w:name w:val="Bullet 4"/>
    <w:basedOn w:val="Normln"/>
    <w:rsid w:val="009C6417"/>
    <w:pPr>
      <w:numPr>
        <w:numId w:val="15"/>
      </w:numPr>
    </w:pPr>
  </w:style>
  <w:style w:type="paragraph" w:customStyle="1" w:styleId="Dash">
    <w:name w:val="Dash"/>
    <w:basedOn w:val="Normln"/>
    <w:rsid w:val="009C6417"/>
    <w:pPr>
      <w:numPr>
        <w:numId w:val="1"/>
      </w:numPr>
    </w:pPr>
  </w:style>
  <w:style w:type="paragraph" w:customStyle="1" w:styleId="Dash1">
    <w:name w:val="Dash 1"/>
    <w:basedOn w:val="Normln"/>
    <w:rsid w:val="009C6417"/>
    <w:pPr>
      <w:numPr>
        <w:numId w:val="2"/>
      </w:numPr>
    </w:pPr>
  </w:style>
  <w:style w:type="paragraph" w:customStyle="1" w:styleId="Dash2">
    <w:name w:val="Dash 2"/>
    <w:basedOn w:val="Normln"/>
    <w:rsid w:val="009C6417"/>
    <w:pPr>
      <w:numPr>
        <w:numId w:val="3"/>
      </w:numPr>
    </w:pPr>
  </w:style>
  <w:style w:type="paragraph" w:customStyle="1" w:styleId="Dash3">
    <w:name w:val="Dash 3"/>
    <w:basedOn w:val="Normln"/>
    <w:rsid w:val="009C6417"/>
    <w:pPr>
      <w:numPr>
        <w:numId w:val="4"/>
      </w:numPr>
    </w:pPr>
  </w:style>
  <w:style w:type="paragraph" w:customStyle="1" w:styleId="Dash4">
    <w:name w:val="Dash 4"/>
    <w:basedOn w:val="Normln"/>
    <w:rsid w:val="009C6417"/>
    <w:pPr>
      <w:numPr>
        <w:numId w:val="5"/>
      </w:numPr>
    </w:pPr>
  </w:style>
  <w:style w:type="paragraph" w:customStyle="1" w:styleId="DashEqual">
    <w:name w:val="Dash Equal"/>
    <w:basedOn w:val="Dash"/>
    <w:rsid w:val="009C6417"/>
    <w:pPr>
      <w:numPr>
        <w:numId w:val="6"/>
      </w:numPr>
    </w:pPr>
  </w:style>
  <w:style w:type="paragraph" w:customStyle="1" w:styleId="DashEqual1">
    <w:name w:val="Dash Equal 1"/>
    <w:basedOn w:val="Dash1"/>
    <w:rsid w:val="009C6417"/>
    <w:pPr>
      <w:numPr>
        <w:numId w:val="7"/>
      </w:numPr>
    </w:pPr>
  </w:style>
  <w:style w:type="paragraph" w:customStyle="1" w:styleId="DashEqual2">
    <w:name w:val="Dash Equal 2"/>
    <w:basedOn w:val="Dash2"/>
    <w:rsid w:val="009C6417"/>
    <w:pPr>
      <w:numPr>
        <w:numId w:val="8"/>
      </w:numPr>
    </w:pPr>
  </w:style>
  <w:style w:type="paragraph" w:customStyle="1" w:styleId="DashEqual3">
    <w:name w:val="Dash Equal 3"/>
    <w:basedOn w:val="Dash3"/>
    <w:rsid w:val="009C6417"/>
    <w:pPr>
      <w:numPr>
        <w:numId w:val="9"/>
      </w:numPr>
    </w:pPr>
  </w:style>
  <w:style w:type="paragraph" w:customStyle="1" w:styleId="DashEqual4">
    <w:name w:val="Dash Equal 4"/>
    <w:basedOn w:val="Dash4"/>
    <w:rsid w:val="009C6417"/>
    <w:pPr>
      <w:numPr>
        <w:numId w:val="10"/>
      </w:numPr>
    </w:pPr>
  </w:style>
  <w:style w:type="character" w:customStyle="1" w:styleId="Marker">
    <w:name w:val="Marker"/>
    <w:basedOn w:val="Standardnpsmoodstavce"/>
    <w:rsid w:val="009C6417"/>
    <w:rPr>
      <w:color w:val="0000FF"/>
      <w:shd w:val="clear" w:color="auto" w:fill="auto"/>
    </w:rPr>
  </w:style>
  <w:style w:type="character" w:customStyle="1" w:styleId="Marker1">
    <w:name w:val="Marker1"/>
    <w:basedOn w:val="Standardnpsmoodstavce"/>
    <w:rsid w:val="009C6417"/>
    <w:rPr>
      <w:color w:val="008000"/>
      <w:shd w:val="clear" w:color="auto" w:fill="auto"/>
    </w:rPr>
  </w:style>
  <w:style w:type="paragraph" w:customStyle="1" w:styleId="HeadingLeft">
    <w:name w:val="Heading Left"/>
    <w:basedOn w:val="Normln"/>
    <w:next w:val="Normln"/>
    <w:rsid w:val="009C6417"/>
    <w:pPr>
      <w:spacing w:before="360"/>
      <w:outlineLvl w:val="0"/>
    </w:pPr>
    <w:rPr>
      <w:b/>
      <w:caps/>
      <w:u w:val="single"/>
    </w:rPr>
  </w:style>
  <w:style w:type="paragraph" w:customStyle="1" w:styleId="HeadingIVX">
    <w:name w:val="Heading IVX"/>
    <w:basedOn w:val="HeadingLeft"/>
    <w:next w:val="Normln"/>
    <w:rsid w:val="009C6417"/>
    <w:pPr>
      <w:numPr>
        <w:numId w:val="20"/>
      </w:numPr>
    </w:pPr>
  </w:style>
  <w:style w:type="paragraph" w:customStyle="1" w:styleId="Heading123">
    <w:name w:val="Heading 123"/>
    <w:basedOn w:val="HeadingLeft"/>
    <w:next w:val="Normln"/>
    <w:rsid w:val="009C6417"/>
    <w:pPr>
      <w:numPr>
        <w:numId w:val="19"/>
      </w:numPr>
    </w:pPr>
  </w:style>
  <w:style w:type="paragraph" w:customStyle="1" w:styleId="HeadingABC">
    <w:name w:val="Heading ABC"/>
    <w:basedOn w:val="HeadingLeft"/>
    <w:next w:val="Normln"/>
    <w:rsid w:val="009C6417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ln"/>
    <w:rsid w:val="009C6417"/>
    <w:pPr>
      <w:jc w:val="center"/>
    </w:pPr>
  </w:style>
  <w:style w:type="paragraph" w:customStyle="1" w:styleId="Jardin">
    <w:name w:val="Jardin"/>
    <w:basedOn w:val="Normln"/>
    <w:rsid w:val="009C6417"/>
    <w:pPr>
      <w:spacing w:before="200" w:after="0" w:line="240" w:lineRule="auto"/>
      <w:jc w:val="center"/>
    </w:pPr>
  </w:style>
  <w:style w:type="paragraph" w:customStyle="1" w:styleId="Amendment">
    <w:name w:val="Amendment"/>
    <w:basedOn w:val="Normln"/>
    <w:next w:val="Normln"/>
    <w:rsid w:val="009C6417"/>
    <w:rPr>
      <w:i/>
      <w:u w:val="single"/>
    </w:rPr>
  </w:style>
  <w:style w:type="paragraph" w:customStyle="1" w:styleId="AmendmentList">
    <w:name w:val="Amendment List"/>
    <w:basedOn w:val="Normln"/>
    <w:rsid w:val="009C6417"/>
    <w:pPr>
      <w:ind w:left="2268" w:hanging="2268"/>
    </w:pPr>
  </w:style>
  <w:style w:type="paragraph" w:customStyle="1" w:styleId="ReplyRE">
    <w:name w:val="Reply RE"/>
    <w:basedOn w:val="Normln"/>
    <w:next w:val="Normln"/>
    <w:rsid w:val="009C6417"/>
    <w:pPr>
      <w:spacing w:after="480" w:line="240" w:lineRule="auto"/>
      <w:contextualSpacing/>
    </w:pPr>
  </w:style>
  <w:style w:type="paragraph" w:customStyle="1" w:styleId="ReplyBold">
    <w:name w:val="Reply Bold"/>
    <w:basedOn w:val="ReplyRE"/>
    <w:next w:val="Normln"/>
    <w:rsid w:val="009C6417"/>
    <w:rPr>
      <w:b/>
    </w:rPr>
  </w:style>
  <w:style w:type="paragraph" w:customStyle="1" w:styleId="Annex">
    <w:name w:val="Annex"/>
    <w:basedOn w:val="Normln"/>
    <w:next w:val="Normln"/>
    <w:rsid w:val="009C6417"/>
    <w:pPr>
      <w:jc w:val="right"/>
    </w:pPr>
    <w:rPr>
      <w:b/>
      <w:u w:val="single"/>
    </w:rPr>
  </w:style>
  <w:style w:type="paragraph" w:customStyle="1" w:styleId="Sign">
    <w:name w:val="Sign"/>
    <w:basedOn w:val="Normln"/>
    <w:rsid w:val="009C6417"/>
    <w:pPr>
      <w:tabs>
        <w:tab w:val="center" w:pos="7087"/>
      </w:tabs>
      <w:contextualSpacing/>
    </w:pPr>
  </w:style>
  <w:style w:type="paragraph" w:customStyle="1" w:styleId="NotDeclassified">
    <w:name w:val="Not Declassified"/>
    <w:basedOn w:val="Normln"/>
    <w:next w:val="Normln"/>
    <w:rsid w:val="009C6417"/>
    <w:rPr>
      <w:b/>
      <w:shd w:val="clear" w:color="auto" w:fill="CCCCCC"/>
    </w:rPr>
  </w:style>
  <w:style w:type="character" w:customStyle="1" w:styleId="NotDeclassifiedCharacter">
    <w:name w:val="Not Declassified Character"/>
    <w:basedOn w:val="Standardnpsmoodstavce"/>
    <w:rsid w:val="009C6417"/>
    <w:rPr>
      <w:rFonts w:ascii="Times New Roman" w:hAnsi="Times New Roman" w:cs="Times New Roman"/>
      <w:b/>
      <w:sz w:val="24"/>
      <w:shd w:val="clear" w:color="auto" w:fill="CCCCCC"/>
    </w:rPr>
  </w:style>
  <w:style w:type="paragraph" w:customStyle="1" w:styleId="NormalCompact">
    <w:name w:val="Normal Compact"/>
    <w:basedOn w:val="Normln"/>
    <w:next w:val="Normln"/>
    <w:rsid w:val="009C6417"/>
    <w:pPr>
      <w:spacing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B675E"/>
    <w:pPr>
      <w:spacing w:before="0"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B675E"/>
    <w:rPr>
      <w:rFonts w:ascii="Times New Roman" w:hAnsi="Times New Roman" w:cs="Times New Roman"/>
      <w:sz w:val="20"/>
      <w:szCs w:val="20"/>
      <w:lang w:val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1B675E"/>
    <w:rPr>
      <w:vertAlign w:val="superscript"/>
    </w:rPr>
  </w:style>
  <w:style w:type="paragraph" w:customStyle="1" w:styleId="HeaderCouncilLarge">
    <w:name w:val="Header Council Large"/>
    <w:basedOn w:val="Normln"/>
    <w:link w:val="HeaderCouncilLargeChar"/>
    <w:rsid w:val="00D10D5A"/>
    <w:pPr>
      <w:spacing w:before="0"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Standardnpsmoodstavce"/>
    <w:link w:val="TechnicalBlock"/>
    <w:rsid w:val="00D10D5A"/>
    <w:rPr>
      <w:rFonts w:ascii="Times New Roman" w:hAnsi="Times New Roman" w:cs="Times New Roman"/>
      <w:sz w:val="24"/>
    </w:rPr>
  </w:style>
  <w:style w:type="character" w:customStyle="1" w:styleId="HeaderCouncilLargeChar">
    <w:name w:val="Header Council Large Char"/>
    <w:basedOn w:val="TechnicalBlockChar"/>
    <w:link w:val="HeaderCouncilLarge"/>
    <w:rsid w:val="00D10D5A"/>
    <w:rPr>
      <w:rFonts w:ascii="Times New Roman" w:hAnsi="Times New Roman" w:cs="Times New Roman"/>
      <w:sz w:val="2"/>
    </w:rPr>
  </w:style>
  <w:style w:type="paragraph" w:customStyle="1" w:styleId="FooterText">
    <w:name w:val="Footer Text"/>
    <w:basedOn w:val="Normln"/>
    <w:rsid w:val="00D10D5A"/>
    <w:pPr>
      <w:spacing w:before="0" w:after="0" w:line="240" w:lineRule="auto"/>
    </w:pPr>
    <w:rPr>
      <w:rFonts w:eastAsia="Times New Roman"/>
      <w:szCs w:val="24"/>
    </w:rPr>
  </w:style>
  <w:style w:type="character" w:styleId="Zstupntext">
    <w:name w:val="Placeholder Text"/>
    <w:basedOn w:val="Standardnpsmoodstavce"/>
    <w:uiPriority w:val="99"/>
    <w:semiHidden/>
    <w:rsid w:val="00D10D5A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7E3DF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3DF2"/>
    <w:pPr>
      <w:ind w:left="720"/>
      <w:contextualSpacing/>
    </w:pPr>
  </w:style>
  <w:style w:type="paragraph" w:customStyle="1" w:styleId="Default">
    <w:name w:val="Default"/>
    <w:rsid w:val="007E3D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572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726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726E"/>
    <w:rPr>
      <w:rFonts w:ascii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72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726E"/>
    <w:rPr>
      <w:rFonts w:ascii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72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726E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axess.ec.europa.e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W_COUNCI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AB63F-AF9D-4EC1-A171-959A6003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DW_COUNCIL</Template>
  <TotalTime>1</TotalTime>
  <Pages>13</Pages>
  <Words>2557</Words>
  <Characters>15088</Characters>
  <Application>Microsoft Office Word</Application>
  <DocSecurity>4</DocSecurity>
  <Lines>125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KAJDY Monika</dc:creator>
  <cp:lastModifiedBy>Administrator</cp:lastModifiedBy>
  <cp:revision>2</cp:revision>
  <dcterms:created xsi:type="dcterms:W3CDTF">2022-03-29T08:48:00Z</dcterms:created>
  <dcterms:modified xsi:type="dcterms:W3CDTF">2022-03-29T08:48:00Z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DocuWrite 4.6.2, Build 20211105</vt:lpwstr>
  </property>
  <property fmtid="{D5CDD505-2E9C-101B-9397-08002B2CF9AE}" pid="3" name="Created using">
    <vt:lpwstr>DocuWrite 4.6.2, Build 20211105</vt:lpwstr>
  </property>
</Properties>
</file>