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1" w:rsidRPr="008E4975" w:rsidRDefault="00946070" w:rsidP="008E4975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Document Cover Page.&#10;Document Number: 6937/22.&#10;Subject Codes: AUDIO 17 CULT 24 ENV 185 SAN 135 SUSTDEV 53 IND 62 PI 18 DIGIT 48 RECH 113 TOUR 22.&#10;Heading: POZNÁMKA.&#10;Originator: Generální sekretariát Rady.&#10;Recipient: Výbor stálých zástupců / Rada.&#10;Subject: Návrh závěrů Rady o budování evropské strategie pro ekosystém kulturních a kreativních odvětví – schválení.&#10;Commission Document Number: Not Set.&#10;Preceeding Document Number: Not Set.&#10;Location: Brusel.&#10;Date: 18. března 2022.&#10;Interinstitutional Files: Not Set.&#10;Institutional Framework: Rada Evropské unie.&#10;Language: CS.&#10;Distribution Code: LIMITE.&#10;GUID: 4680321767615768646_0" style="width:568.5pt;height:412.5pt">
            <v:imagedata r:id="rId8" o:title=""/>
          </v:shape>
        </w:pict>
      </w:r>
      <w:bookmarkEnd w:id="0"/>
    </w:p>
    <w:p w:rsidR="00660259" w:rsidRPr="00A12260" w:rsidRDefault="00660259" w:rsidP="00306889">
      <w:pPr>
        <w:rPr>
          <w:rFonts w:asciiTheme="majorBidi" w:hAnsiTheme="majorBidi" w:cstheme="majorBidi"/>
          <w:szCs w:val="24"/>
        </w:rPr>
      </w:pPr>
      <w:r w:rsidRPr="00A12260">
        <w:rPr>
          <w:rFonts w:asciiTheme="majorBidi" w:hAnsiTheme="majorBidi"/>
          <w:color w:val="1D1D1D"/>
          <w:szCs w:val="24"/>
          <w:u w:val="single"/>
        </w:rPr>
        <w:t>Pracovní skupina pro audiovizuální odvětví</w:t>
      </w:r>
      <w:r w:rsidR="00946070">
        <w:rPr>
          <w:rFonts w:asciiTheme="majorBidi" w:hAnsiTheme="majorBidi"/>
          <w:color w:val="1D1D1D"/>
          <w:szCs w:val="24"/>
          <w:u w:val="single"/>
        </w:rPr>
        <w:t xml:space="preserve"> a </w:t>
      </w:r>
      <w:r w:rsidRPr="00A12260">
        <w:rPr>
          <w:rFonts w:asciiTheme="majorBidi" w:hAnsiTheme="majorBidi"/>
          <w:color w:val="1D1D1D"/>
          <w:szCs w:val="24"/>
          <w:u w:val="single"/>
        </w:rPr>
        <w:t>média</w:t>
      </w:r>
      <w:r w:rsidRPr="00A12260">
        <w:t xml:space="preserve"> projednala výše uvedený návrh závěrů Rady</w:t>
      </w:r>
      <w:r w:rsidR="00946070">
        <w:t xml:space="preserve"> na </w:t>
      </w:r>
      <w:r w:rsidRPr="00A12260">
        <w:t>několika zasedáních.</w:t>
      </w:r>
      <w:r w:rsidRPr="00A12260">
        <w:rPr>
          <w:rFonts w:asciiTheme="majorBidi" w:hAnsiTheme="majorBidi"/>
          <w:szCs w:val="24"/>
        </w:rPr>
        <w:t xml:space="preserve"> Se zněním nyní souhlasí všechny delegace.</w:t>
      </w:r>
    </w:p>
    <w:p w:rsidR="00660259" w:rsidRPr="00A12260" w:rsidRDefault="00660259" w:rsidP="008E4975">
      <w:pPr>
        <w:rPr>
          <w:rFonts w:eastAsia="Times New Roman"/>
          <w:szCs w:val="24"/>
        </w:rPr>
      </w:pPr>
      <w:r w:rsidRPr="00A12260">
        <w:rPr>
          <w:u w:val="single"/>
        </w:rPr>
        <w:t>Výbor stálých zástupců</w:t>
      </w:r>
      <w:r w:rsidRPr="00A12260">
        <w:t xml:space="preserve"> se proto vyzývá, aby dohodu Pracovní skupiny pro audiovizuální odvětví</w:t>
      </w:r>
      <w:r w:rsidR="00946070">
        <w:t xml:space="preserve"> a </w:t>
      </w:r>
      <w:r w:rsidRPr="00A12260">
        <w:t>média ohledně znění uvedeného</w:t>
      </w:r>
      <w:r w:rsidR="00946070">
        <w:t xml:space="preserve"> v </w:t>
      </w:r>
      <w:r w:rsidRPr="00A12260">
        <w:t>příloze potvrdil</w:t>
      </w:r>
      <w:r w:rsidR="00946070">
        <w:t xml:space="preserve"> a </w:t>
      </w:r>
      <w:r w:rsidRPr="00A12260">
        <w:t>předložil je Radě ke schválení</w:t>
      </w:r>
      <w:r w:rsidR="00946070">
        <w:t xml:space="preserve"> a </w:t>
      </w:r>
      <w:r w:rsidRPr="00A12260">
        <w:t>následnému zveřejnění</w:t>
      </w:r>
      <w:r w:rsidR="00946070">
        <w:t xml:space="preserve"> v </w:t>
      </w:r>
      <w:r w:rsidRPr="00A12260">
        <w:rPr>
          <w:i/>
          <w:iCs/>
        </w:rPr>
        <w:t>Úředním věstníku Evropské unie</w:t>
      </w:r>
      <w:r w:rsidRPr="00A12260">
        <w:t>.</w:t>
      </w:r>
    </w:p>
    <w:p w:rsidR="00772954" w:rsidRPr="00A12260" w:rsidRDefault="00772954" w:rsidP="00946690">
      <w:pPr>
        <w:pStyle w:val="FinalLine"/>
      </w:pPr>
    </w:p>
    <w:p w:rsidR="0018130B" w:rsidRPr="00A12260" w:rsidRDefault="0018130B" w:rsidP="0018130B">
      <w:pPr>
        <w:sectPr w:rsidR="0018130B" w:rsidRPr="00A12260" w:rsidSect="008E4975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/>
          <w:pgMar w:top="624" w:right="1134" w:bottom="1134" w:left="1134" w:header="567" w:footer="567" w:gutter="0"/>
          <w:pgNumType w:start="1"/>
          <w:cols w:space="720"/>
          <w:titlePg/>
          <w:docGrid w:linePitch="360"/>
        </w:sectPr>
      </w:pPr>
    </w:p>
    <w:p w:rsidR="008E4975" w:rsidRPr="00BF6B3C" w:rsidRDefault="008E4975" w:rsidP="008E4975">
      <w:pPr>
        <w:pStyle w:val="Annex"/>
        <w:rPr>
          <w:b w:val="0"/>
          <w:bCs/>
        </w:rPr>
      </w:pPr>
      <w:r w:rsidRPr="00BF6B3C">
        <w:rPr>
          <w:b w:val="0"/>
          <w:bCs/>
        </w:rPr>
        <w:lastRenderedPageBreak/>
        <w:t>PŘÍLOHA</w:t>
      </w:r>
    </w:p>
    <w:p w:rsidR="008E4975" w:rsidRPr="00BF6B3C" w:rsidRDefault="008E4975" w:rsidP="008E4975">
      <w:pPr>
        <w:spacing w:before="200"/>
        <w:jc w:val="center"/>
        <w:rPr>
          <w:b/>
          <w:bCs/>
        </w:rPr>
      </w:pPr>
      <w:r w:rsidRPr="00BF6B3C">
        <w:rPr>
          <w:b/>
          <w:bCs/>
        </w:rPr>
        <w:t>Návrh závěrů Rady</w:t>
      </w:r>
      <w:r w:rsidR="00946070">
        <w:rPr>
          <w:b/>
          <w:bCs/>
        </w:rPr>
        <w:t xml:space="preserve"> o </w:t>
      </w:r>
      <w:r w:rsidRPr="00BF6B3C">
        <w:rPr>
          <w:b/>
          <w:bCs/>
        </w:rPr>
        <w:t>budování evropské strategie pro ekosystém kulturních</w:t>
      </w:r>
      <w:r w:rsidR="00946070">
        <w:rPr>
          <w:b/>
          <w:bCs/>
        </w:rPr>
        <w:t xml:space="preserve"> a </w:t>
      </w:r>
      <w:r w:rsidRPr="00BF6B3C">
        <w:rPr>
          <w:b/>
          <w:bCs/>
        </w:rPr>
        <w:t>kreativních odvětví</w:t>
      </w:r>
    </w:p>
    <w:p w:rsidR="008E4975" w:rsidRPr="00BF6B3C" w:rsidRDefault="008E4975" w:rsidP="008E4975">
      <w:pPr>
        <w:spacing w:before="240"/>
        <w:outlineLvl w:val="0"/>
        <w:rPr>
          <w:rFonts w:eastAsia="Calibri"/>
          <w:caps/>
          <w:szCs w:val="24"/>
        </w:rPr>
      </w:pPr>
      <w:r w:rsidRPr="00BF6B3C">
        <w:rPr>
          <w:caps/>
          <w:szCs w:val="24"/>
        </w:rPr>
        <w:t>RADA EVROPSKÉ UNIE,</w:t>
      </w:r>
    </w:p>
    <w:p w:rsidR="008E4975" w:rsidRPr="00BF6B3C" w:rsidRDefault="008E4975" w:rsidP="008E4975">
      <w:pPr>
        <w:spacing w:before="360"/>
        <w:outlineLvl w:val="0"/>
      </w:pPr>
      <w:r w:rsidRPr="00BF6B3C">
        <w:rPr>
          <w:i/>
          <w:iCs/>
        </w:rPr>
        <w:t>PŘIPOMÍNAJÍC:</w:t>
      </w:r>
    </w:p>
    <w:p w:rsidR="008E4975" w:rsidRPr="00BF6B3C" w:rsidRDefault="008E4975" w:rsidP="008E4975">
      <w:pPr>
        <w:numPr>
          <w:ilvl w:val="0"/>
          <w:numId w:val="21"/>
        </w:numPr>
      </w:pPr>
      <w:r w:rsidRPr="00BF6B3C">
        <w:t>zásadní roli, kterou mají kultura</w:t>
      </w:r>
      <w:r w:rsidR="00946070">
        <w:t xml:space="preserve"> a </w:t>
      </w:r>
      <w:r w:rsidRPr="00BF6B3C">
        <w:t>svoboda tvorby pro Evropskou unii</w:t>
      </w:r>
      <w:r w:rsidR="00946070">
        <w:t xml:space="preserve"> a </w:t>
      </w:r>
      <w:r w:rsidRPr="00BF6B3C">
        <w:t>její občany, pokud jde</w:t>
      </w:r>
      <w:r w:rsidR="00946070">
        <w:t xml:space="preserve"> o </w:t>
      </w:r>
      <w:r w:rsidRPr="00BF6B3C">
        <w:t>posilování evropských demokracií</w:t>
      </w:r>
      <w:r w:rsidR="00946070">
        <w:t xml:space="preserve"> a </w:t>
      </w:r>
      <w:r w:rsidRPr="00BF6B3C">
        <w:t>hodnot, rozvoj naší představivosti, prosperitu našich společností, životaschopnost našich místních oblastí, kvalitu našeho životního prostředí</w:t>
      </w:r>
      <w:r w:rsidR="00946070">
        <w:t xml:space="preserve"> a </w:t>
      </w:r>
      <w:r w:rsidRPr="00BF6B3C">
        <w:t>dobré životní podmínky jednotlivců;</w:t>
      </w:r>
    </w:p>
    <w:p w:rsidR="008E4975" w:rsidRPr="00BF6B3C" w:rsidRDefault="008E4975" w:rsidP="008E4975">
      <w:pPr>
        <w:numPr>
          <w:ilvl w:val="0"/>
          <w:numId w:val="21"/>
        </w:numPr>
      </w:pPr>
      <w:r w:rsidRPr="00BF6B3C">
        <w:t>klíčovou roli, kterou kulturní</w:t>
      </w:r>
      <w:r w:rsidR="00946070">
        <w:t xml:space="preserve"> a </w:t>
      </w:r>
      <w:r w:rsidRPr="00BF6B3C">
        <w:t>kreativní odvětví</w:t>
      </w:r>
      <w:r w:rsidR="00946070">
        <w:t xml:space="preserve"> a </w:t>
      </w:r>
      <w:r w:rsidRPr="00BF6B3C">
        <w:t>průmysl, označované také jako ekosystém kulturních</w:t>
      </w:r>
      <w:r w:rsidR="00946070">
        <w:t xml:space="preserve"> a </w:t>
      </w:r>
      <w:r w:rsidRPr="00BF6B3C">
        <w:t>kreativních odvětví, hrají při budování společného dědictví, společných odkazů</w:t>
      </w:r>
      <w:r w:rsidR="00946070">
        <w:t xml:space="preserve"> a </w:t>
      </w:r>
      <w:r w:rsidRPr="00BF6B3C">
        <w:t>budoucí kultury, jež jsou zásadní pro trvalý rozkvět evropské kulturní rozmanitosti, přičemž je třeba mít</w:t>
      </w:r>
      <w:r w:rsidR="00946070">
        <w:t xml:space="preserve"> na </w:t>
      </w:r>
      <w:r w:rsidRPr="00BF6B3C">
        <w:t>paměti, že kulturní</w:t>
      </w:r>
      <w:r w:rsidR="00946070">
        <w:t xml:space="preserve"> a </w:t>
      </w:r>
      <w:r w:rsidRPr="00BF6B3C">
        <w:t>kreativní odvětví</w:t>
      </w:r>
      <w:r w:rsidR="00946070">
        <w:t xml:space="preserve"> a </w:t>
      </w:r>
      <w:r w:rsidRPr="00BF6B3C">
        <w:t>průmysl představují velmi různorodou skupinu</w:t>
      </w:r>
      <w:r w:rsidR="00946070">
        <w:t xml:space="preserve"> s </w:t>
      </w:r>
      <w:r w:rsidRPr="00BF6B3C">
        <w:t>různými prioritami</w:t>
      </w:r>
      <w:r w:rsidR="00946070">
        <w:t xml:space="preserve"> a </w:t>
      </w:r>
      <w:r w:rsidRPr="00BF6B3C">
        <w:t>podmínkami;</w:t>
      </w:r>
    </w:p>
    <w:p w:rsidR="008E4975" w:rsidRPr="00BF6B3C" w:rsidRDefault="008E4975" w:rsidP="008E4975">
      <w:pPr>
        <w:numPr>
          <w:ilvl w:val="0"/>
          <w:numId w:val="21"/>
        </w:numPr>
      </w:pPr>
      <w:r w:rsidRPr="00BF6B3C">
        <w:t>rozsah ekosystému kulturních</w:t>
      </w:r>
      <w:r w:rsidR="00946070">
        <w:t xml:space="preserve"> a </w:t>
      </w:r>
      <w:r w:rsidRPr="00BF6B3C">
        <w:t>kreativních odvětví, jenž je vymezen jednak ve výroční zprávě</w:t>
      </w:r>
      <w:r w:rsidR="00946070">
        <w:t xml:space="preserve"> o </w:t>
      </w:r>
      <w:r w:rsidRPr="00BF6B3C">
        <w:t>jednotném trhu</w:t>
      </w:r>
      <w:r w:rsidR="00946070">
        <w:t xml:space="preserve"> za </w:t>
      </w:r>
      <w:r w:rsidRPr="00BF6B3C">
        <w:t>rok 2021</w:t>
      </w:r>
      <w:r w:rsidRPr="00BF6B3C">
        <w:rPr>
          <w:vertAlign w:val="superscript"/>
        </w:rPr>
        <w:footnoteReference w:id="1"/>
      </w:r>
      <w:r w:rsidRPr="00BF6B3C">
        <w:t>, která hodnotí 14 průmyslových ekosystémů určených útvary Komise</w:t>
      </w:r>
      <w:r w:rsidR="00946070">
        <w:t xml:space="preserve"> v </w:t>
      </w:r>
      <w:r w:rsidRPr="00BF6B3C">
        <w:t>souvislosti</w:t>
      </w:r>
      <w:r w:rsidR="00946070">
        <w:t xml:space="preserve"> s </w:t>
      </w:r>
      <w:r w:rsidRPr="00BF6B3C">
        <w:t>novou průmyslovou strategií 2020</w:t>
      </w:r>
      <w:r w:rsidRPr="00BF6B3C">
        <w:rPr>
          <w:vertAlign w:val="superscript"/>
        </w:rPr>
        <w:footnoteReference w:id="2"/>
      </w:r>
      <w:r w:rsidRPr="00BF6B3C">
        <w:t>,</w:t>
      </w:r>
      <w:r w:rsidR="00946070">
        <w:t xml:space="preserve"> a </w:t>
      </w:r>
      <w:r w:rsidRPr="00BF6B3C">
        <w:t>jednak</w:t>
      </w:r>
      <w:r w:rsidR="00946070">
        <w:t xml:space="preserve"> v </w:t>
      </w:r>
      <w:r w:rsidRPr="00BF6B3C">
        <w:t>řadě příslušných dokumentů uvedených</w:t>
      </w:r>
      <w:r w:rsidR="00946070">
        <w:t xml:space="preserve"> v </w:t>
      </w:r>
      <w:r w:rsidRPr="00BF6B3C">
        <w:t>příloze;</w:t>
      </w:r>
    </w:p>
    <w:p w:rsidR="008E4975" w:rsidRPr="00BF6B3C" w:rsidRDefault="008E4975" w:rsidP="00946070">
      <w:pPr>
        <w:pStyle w:val="Point123"/>
        <w:numPr>
          <w:ilvl w:val="0"/>
          <w:numId w:val="21"/>
        </w:numPr>
      </w:pPr>
      <w:r w:rsidRPr="00BF6B3C">
        <w:br w:type="page"/>
      </w:r>
      <w:r w:rsidRPr="00BF6B3C">
        <w:lastRenderedPageBreak/>
        <w:t>hospodářský význam ekosystému kulturních</w:t>
      </w:r>
      <w:r w:rsidR="00946070">
        <w:t xml:space="preserve"> a </w:t>
      </w:r>
      <w:r w:rsidRPr="00BF6B3C">
        <w:t>kreativních odvětví, jenž</w:t>
      </w:r>
      <w:r w:rsidR="00946070">
        <w:t xml:space="preserve"> v </w:t>
      </w:r>
      <w:r w:rsidRPr="00BF6B3C">
        <w:t>roce 2019 představoval dle odhadů 3,95 % přidané hodnoty EU (477 miliard EUR)</w:t>
      </w:r>
      <w:r w:rsidR="00946070">
        <w:t xml:space="preserve"> a </w:t>
      </w:r>
      <w:r w:rsidRPr="00BF6B3C">
        <w:t>zahrnoval 8,02</w:t>
      </w:r>
      <w:r w:rsidR="00946070">
        <w:t> </w:t>
      </w:r>
      <w:r w:rsidRPr="00BF6B3C">
        <w:t>milionu zaměstnanců</w:t>
      </w:r>
      <w:r w:rsidR="00946070">
        <w:t xml:space="preserve"> a </w:t>
      </w:r>
      <w:r w:rsidRPr="00BF6B3C">
        <w:t>1,2 milionu společností,</w:t>
      </w:r>
      <w:r w:rsidR="00946070">
        <w:t xml:space="preserve"> z </w:t>
      </w:r>
      <w:r w:rsidRPr="00BF6B3C">
        <w:t>nichž 99,9 % byly malé</w:t>
      </w:r>
      <w:r w:rsidR="00946070">
        <w:t xml:space="preserve"> a </w:t>
      </w:r>
      <w:r w:rsidRPr="00BF6B3C">
        <w:t>střední podniky</w:t>
      </w:r>
      <w:r w:rsidRPr="00BF6B3C">
        <w:rPr>
          <w:vertAlign w:val="superscript"/>
        </w:rPr>
        <w:footnoteReference w:id="3"/>
      </w:r>
      <w:r w:rsidRPr="00BF6B3C">
        <w:t>;</w:t>
      </w:r>
    </w:p>
    <w:p w:rsidR="008E4975" w:rsidRPr="00BF6B3C" w:rsidRDefault="008E4975" w:rsidP="008E4975">
      <w:pPr>
        <w:pStyle w:val="Point123"/>
        <w:numPr>
          <w:ilvl w:val="0"/>
          <w:numId w:val="21"/>
        </w:numPr>
      </w:pPr>
      <w:r w:rsidRPr="00BF6B3C">
        <w:t>značný dopad pandemie COVID-19</w:t>
      </w:r>
      <w:r w:rsidR="00946070">
        <w:t xml:space="preserve"> na </w:t>
      </w:r>
      <w:r w:rsidRPr="00BF6B3C">
        <w:t>kulturní</w:t>
      </w:r>
      <w:r w:rsidR="00946070">
        <w:t xml:space="preserve"> a </w:t>
      </w:r>
      <w:r w:rsidRPr="00BF6B3C">
        <w:t>kreativní ekonomiku</w:t>
      </w:r>
      <w:r w:rsidR="00946070">
        <w:t xml:space="preserve"> a </w:t>
      </w:r>
      <w:r w:rsidRPr="00BF6B3C">
        <w:t>potřebu nadále posilovat odolnost ekosystému kulturních</w:t>
      </w:r>
      <w:r w:rsidR="00946070">
        <w:t xml:space="preserve"> a </w:t>
      </w:r>
      <w:r w:rsidRPr="00BF6B3C">
        <w:t>kreativních odvětví</w:t>
      </w:r>
      <w:r w:rsidR="00946070">
        <w:t xml:space="preserve"> a </w:t>
      </w:r>
      <w:r w:rsidRPr="00BF6B3C">
        <w:t>souběžnou transformaci (zelenou</w:t>
      </w:r>
      <w:r w:rsidR="00946070">
        <w:t xml:space="preserve"> a </w:t>
      </w:r>
      <w:r w:rsidRPr="00BF6B3C">
        <w:t>digitální)</w:t>
      </w:r>
      <w:r w:rsidR="00946070">
        <w:t xml:space="preserve"> v </w:t>
      </w:r>
      <w:r w:rsidRPr="00BF6B3C">
        <w:t>rámci Evropské unie</w:t>
      </w:r>
      <w:r w:rsidR="00946070">
        <w:t xml:space="preserve"> s </w:t>
      </w:r>
      <w:r w:rsidRPr="00BF6B3C">
        <w:t>cílem doplnit účinek evropského Nástroje pro oživení</w:t>
      </w:r>
      <w:r w:rsidR="00946070">
        <w:t xml:space="preserve"> a </w:t>
      </w:r>
      <w:r w:rsidRPr="00BF6B3C">
        <w:t>odolnost</w:t>
      </w:r>
      <w:r w:rsidR="00946070">
        <w:t xml:space="preserve"> a </w:t>
      </w:r>
      <w:r w:rsidRPr="00BF6B3C">
        <w:t>umožnit plné využití jeho potenciálu jakožto hnací síly hospodářského růstu</w:t>
      </w:r>
      <w:r w:rsidR="00946070">
        <w:t xml:space="preserve"> a </w:t>
      </w:r>
      <w:r w:rsidRPr="00BF6B3C">
        <w:t>zaměstnanosti</w:t>
      </w:r>
      <w:r w:rsidR="00946070">
        <w:t xml:space="preserve"> i </w:t>
      </w:r>
      <w:r w:rsidRPr="00BF6B3C">
        <w:t>globální konkurenceschopnosti EU;</w:t>
      </w:r>
    </w:p>
    <w:p w:rsidR="008E4975" w:rsidRPr="00BF6B3C" w:rsidRDefault="008E4975" w:rsidP="008E4975">
      <w:pPr>
        <w:ind w:left="567"/>
        <w:rPr>
          <w:i/>
          <w:iCs/>
          <w:szCs w:val="24"/>
        </w:rPr>
      </w:pPr>
      <w:r w:rsidRPr="00BF6B3C">
        <w:rPr>
          <w:i/>
          <w:iCs/>
          <w:szCs w:val="24"/>
        </w:rPr>
        <w:t>ZDŮRAZŇUJE, ŽE:</w:t>
      </w:r>
    </w:p>
    <w:p w:rsidR="008E4975" w:rsidRPr="00BF6B3C" w:rsidRDefault="008E4975" w:rsidP="008E4975">
      <w:pPr>
        <w:pStyle w:val="Point123"/>
        <w:numPr>
          <w:ilvl w:val="0"/>
          <w:numId w:val="21"/>
        </w:numPr>
      </w:pPr>
      <w:r w:rsidRPr="00BF6B3C">
        <w:t>současná krize způsobená pandemií COVID-19 kromě svého krátkodobého dopadu poukázala</w:t>
      </w:r>
      <w:r w:rsidR="00946070">
        <w:t xml:space="preserve"> na </w:t>
      </w:r>
      <w:r w:rsidRPr="00BF6B3C">
        <w:t>strukturální výzvy</w:t>
      </w:r>
      <w:r w:rsidR="00946070">
        <w:t xml:space="preserve"> a </w:t>
      </w:r>
      <w:r w:rsidRPr="00BF6B3C">
        <w:t>příležitosti, které jsou společné pro celý ekosystém kulturních</w:t>
      </w:r>
      <w:r w:rsidR="00946070">
        <w:t xml:space="preserve"> a </w:t>
      </w:r>
      <w:r w:rsidRPr="00BF6B3C">
        <w:t>kreativních odvětví. Patří sem mimo jiné digitální transformace metod</w:t>
      </w:r>
      <w:r w:rsidR="00946070">
        <w:t xml:space="preserve"> a </w:t>
      </w:r>
      <w:r w:rsidRPr="00BF6B3C">
        <w:t>použití návrhů; silná konkurence ze strany velkých globálních hráčů</w:t>
      </w:r>
      <w:r w:rsidR="00946070">
        <w:t xml:space="preserve"> a </w:t>
      </w:r>
      <w:r w:rsidRPr="00BF6B3C">
        <w:t>jejich integrace; potřeba konsolidovat systémy</w:t>
      </w:r>
      <w:r w:rsidR="00946070">
        <w:t xml:space="preserve"> a </w:t>
      </w:r>
      <w:r w:rsidRPr="00BF6B3C">
        <w:t>diverzifikovat zdroje financování tvorby, produkce</w:t>
      </w:r>
      <w:r w:rsidR="00946070">
        <w:t xml:space="preserve"> a </w:t>
      </w:r>
      <w:r w:rsidRPr="00BF6B3C">
        <w:t>šíření děl</w:t>
      </w:r>
      <w:r w:rsidR="00946070">
        <w:t xml:space="preserve"> s </w:t>
      </w:r>
      <w:r w:rsidRPr="00BF6B3C">
        <w:t>cílem zajistit udržitelnost obchodních modelů; potřeba systémů pojištění přizpůsobených specifikům ekosystému kulturních</w:t>
      </w:r>
      <w:r w:rsidR="00946070">
        <w:t xml:space="preserve"> a </w:t>
      </w:r>
      <w:r w:rsidRPr="00BF6B3C">
        <w:t>kreativních odvětví</w:t>
      </w:r>
      <w:r w:rsidR="00946070">
        <w:t xml:space="preserve"> a </w:t>
      </w:r>
      <w:r w:rsidRPr="00BF6B3C">
        <w:t>potřeba reagovat</w:t>
      </w:r>
      <w:r w:rsidR="00946070">
        <w:t xml:space="preserve"> na </w:t>
      </w:r>
      <w:r w:rsidRPr="00BF6B3C">
        <w:t>rychle se měnící poptávku cílové skupiny</w:t>
      </w:r>
      <w:r w:rsidR="00946070">
        <w:t xml:space="preserve"> a </w:t>
      </w:r>
      <w:r w:rsidRPr="00BF6B3C">
        <w:t>podporovat zavádění inovací;</w:t>
      </w:r>
    </w:p>
    <w:p w:rsidR="008E4975" w:rsidRPr="00BF6B3C" w:rsidRDefault="008E4975" w:rsidP="008E4975">
      <w:pPr>
        <w:pStyle w:val="Point123"/>
        <w:numPr>
          <w:ilvl w:val="0"/>
          <w:numId w:val="21"/>
        </w:numPr>
      </w:pPr>
      <w:r w:rsidRPr="00BF6B3C">
        <w:t>dalšími výzvami</w:t>
      </w:r>
      <w:r w:rsidR="00946070">
        <w:t xml:space="preserve"> a </w:t>
      </w:r>
      <w:r w:rsidRPr="00BF6B3C">
        <w:t>příležitostmi pro ekosystém kulturních</w:t>
      </w:r>
      <w:r w:rsidR="00946070">
        <w:t xml:space="preserve"> a </w:t>
      </w:r>
      <w:r w:rsidRPr="00BF6B3C">
        <w:t>kreativních odvětví je provádění zelené transformace; podpora rovnosti</w:t>
      </w:r>
      <w:r w:rsidR="00946070">
        <w:t xml:space="preserve"> a </w:t>
      </w:r>
      <w:r w:rsidRPr="00BF6B3C">
        <w:t>rozmanitosti; úloha ekosystému kulturních</w:t>
      </w:r>
      <w:r w:rsidR="00946070">
        <w:t xml:space="preserve"> a </w:t>
      </w:r>
      <w:r w:rsidRPr="00BF6B3C">
        <w:t>kreativních odvětví</w:t>
      </w:r>
      <w:r w:rsidR="00946070">
        <w:t xml:space="preserve"> na </w:t>
      </w:r>
      <w:r w:rsidRPr="00BF6B3C">
        <w:t>regionální</w:t>
      </w:r>
      <w:r w:rsidR="00946070">
        <w:t xml:space="preserve"> a </w:t>
      </w:r>
      <w:r w:rsidRPr="00BF6B3C">
        <w:t>místní úrovni, zejména</w:t>
      </w:r>
      <w:r w:rsidR="00946070">
        <w:t xml:space="preserve"> z </w:t>
      </w:r>
      <w:r w:rsidRPr="00BF6B3C">
        <w:t>hlediska sociální soudržnosti, místních ekonomik, přilákání kvalitního cestovního ruchu</w:t>
      </w:r>
      <w:r w:rsidR="00946070">
        <w:t xml:space="preserve"> do </w:t>
      </w:r>
      <w:r w:rsidRPr="00BF6B3C">
        <w:t>Evropy</w:t>
      </w:r>
      <w:r w:rsidR="00946070">
        <w:t xml:space="preserve"> a </w:t>
      </w:r>
      <w:r w:rsidRPr="00BF6B3C">
        <w:t>posílení životaschopnosti venkovských</w:t>
      </w:r>
      <w:r w:rsidR="00946070">
        <w:t xml:space="preserve"> a </w:t>
      </w:r>
      <w:r w:rsidRPr="00BF6B3C">
        <w:t>městských oblastí</w:t>
      </w:r>
      <w:r w:rsidR="00946070">
        <w:t xml:space="preserve"> a </w:t>
      </w:r>
      <w:r w:rsidRPr="00BF6B3C">
        <w:t>úloha, kterou ekosystém kulturních</w:t>
      </w:r>
      <w:r w:rsidR="00946070">
        <w:t xml:space="preserve"> a </w:t>
      </w:r>
      <w:r w:rsidRPr="00BF6B3C">
        <w:t>kreativních odvětví hraje ve vnějších vztazích, zejména při podpoře hospodářského</w:t>
      </w:r>
      <w:r w:rsidR="00946070">
        <w:t xml:space="preserve"> a </w:t>
      </w:r>
      <w:r w:rsidRPr="00BF6B3C">
        <w:t>sociálního rozvoje, prosazování míru</w:t>
      </w:r>
      <w:r w:rsidR="00946070">
        <w:t xml:space="preserve"> a </w:t>
      </w:r>
      <w:r w:rsidRPr="00BF6B3C">
        <w:t>stability</w:t>
      </w:r>
      <w:r w:rsidR="00946070">
        <w:t xml:space="preserve"> a </w:t>
      </w:r>
      <w:r w:rsidRPr="00BF6B3C">
        <w:t>naplňování ambiciózní agendy</w:t>
      </w:r>
      <w:r w:rsidR="00946070">
        <w:t xml:space="preserve"> v </w:t>
      </w:r>
      <w:r w:rsidRPr="00BF6B3C">
        <w:t>oblasti duševního vlastnictví;</w:t>
      </w:r>
    </w:p>
    <w:p w:rsidR="008E4975" w:rsidRPr="00BF6B3C" w:rsidRDefault="008E4975" w:rsidP="008E4975">
      <w:pPr>
        <w:pStyle w:val="Point123"/>
        <w:numPr>
          <w:ilvl w:val="0"/>
          <w:numId w:val="21"/>
        </w:numPr>
      </w:pPr>
      <w:r w:rsidRPr="00BF6B3C">
        <w:br w:type="page"/>
      </w:r>
      <w:r w:rsidRPr="00BF6B3C">
        <w:lastRenderedPageBreak/>
        <w:t>v zájmu zachování kulturního dědictví, podpory přístupu</w:t>
      </w:r>
      <w:r w:rsidR="00946070">
        <w:t xml:space="preserve"> k </w:t>
      </w:r>
      <w:r w:rsidRPr="00BF6B3C">
        <w:t>němu</w:t>
      </w:r>
      <w:r w:rsidR="00946070">
        <w:t xml:space="preserve"> a </w:t>
      </w:r>
      <w:r w:rsidRPr="00BF6B3C">
        <w:t>pokračování ve vytváření, produkci</w:t>
      </w:r>
      <w:r w:rsidR="00946070">
        <w:t xml:space="preserve"> a </w:t>
      </w:r>
      <w:r w:rsidRPr="00BF6B3C">
        <w:t>distribuci nových</w:t>
      </w:r>
      <w:r w:rsidR="00946070">
        <w:t xml:space="preserve"> a </w:t>
      </w:r>
      <w:r w:rsidRPr="00BF6B3C">
        <w:t>originálních děl, která přispívají ke kulturní rozmanitosti, je důležité se</w:t>
      </w:r>
      <w:r w:rsidR="00946070">
        <w:t xml:space="preserve"> v </w:t>
      </w:r>
      <w:r w:rsidRPr="00BF6B3C">
        <w:t>úzké spolupráci</w:t>
      </w:r>
      <w:r w:rsidR="00946070">
        <w:t xml:space="preserve"> s </w:t>
      </w:r>
      <w:r w:rsidRPr="00BF6B3C">
        <w:t>danými odvětvími zabývat tím, jak definovat, chránit</w:t>
      </w:r>
      <w:r w:rsidR="00946070">
        <w:t xml:space="preserve"> a </w:t>
      </w:r>
      <w:r w:rsidRPr="00BF6B3C">
        <w:t>podporovat naše strategické kulturní statky. Strategické kulturní statky zahrnují mimo jiné kapacity pro nezávislou tvorbu, produkci, distribuci</w:t>
      </w:r>
      <w:r w:rsidR="00946070">
        <w:t xml:space="preserve"> a </w:t>
      </w:r>
      <w:r w:rsidRPr="00BF6B3C">
        <w:t>předvádění kulturního obsahu</w:t>
      </w:r>
      <w:r w:rsidR="00946070">
        <w:t xml:space="preserve"> a </w:t>
      </w:r>
      <w:r w:rsidRPr="00BF6B3C">
        <w:t>děl, včetně souvisejících hmotných</w:t>
      </w:r>
      <w:r w:rsidR="00946070">
        <w:t xml:space="preserve"> a </w:t>
      </w:r>
      <w:r w:rsidRPr="00BF6B3C">
        <w:t>nehmotných aktiv, například aktiv spojených</w:t>
      </w:r>
      <w:r w:rsidR="00946070">
        <w:t xml:space="preserve"> s </w:t>
      </w:r>
      <w:r w:rsidRPr="00BF6B3C">
        <w:t>katalogy nebo studii (filmovými, televizními nebo uměleckými), které jsou často podporovány</w:t>
      </w:r>
      <w:r w:rsidR="00946070">
        <w:t xml:space="preserve"> z </w:t>
      </w:r>
      <w:r w:rsidRPr="00BF6B3C">
        <w:t>veřejných prostředků;</w:t>
      </w:r>
    </w:p>
    <w:p w:rsidR="008E4975" w:rsidRPr="00BF6B3C" w:rsidRDefault="008E4975" w:rsidP="008E4975">
      <w:pPr>
        <w:pStyle w:val="Point123"/>
        <w:numPr>
          <w:ilvl w:val="0"/>
          <w:numId w:val="21"/>
        </w:numPr>
      </w:pPr>
      <w:r w:rsidRPr="00BF6B3C">
        <w:t>silný, dynamický, různorodý, konkurenceschopný, inovativní, životaschopný</w:t>
      </w:r>
      <w:r w:rsidR="00946070">
        <w:t xml:space="preserve"> a </w:t>
      </w:r>
      <w:r w:rsidRPr="00BF6B3C">
        <w:t>nezávislý evropský ekosystém kulturních</w:t>
      </w:r>
      <w:r w:rsidR="00946070">
        <w:t xml:space="preserve"> a </w:t>
      </w:r>
      <w:r w:rsidRPr="00BF6B3C">
        <w:t>kreativních odvětví, který je vhodný pro digitální věk, jakož</w:t>
      </w:r>
      <w:r w:rsidR="00946070">
        <w:t xml:space="preserve"> i </w:t>
      </w:r>
      <w:r w:rsidRPr="00BF6B3C">
        <w:t>experimentování, mají zásadní význam pro podporu kulturní</w:t>
      </w:r>
      <w:r w:rsidR="00946070">
        <w:t xml:space="preserve"> a </w:t>
      </w:r>
      <w:r w:rsidRPr="00BF6B3C">
        <w:t>jazykové rozmanitosti ve prospěch všech cílových skupin. Nezávislost tohoto ekosystému spočívá</w:t>
      </w:r>
      <w:r w:rsidR="00946070">
        <w:t xml:space="preserve"> v </w:t>
      </w:r>
      <w:r w:rsidRPr="00BF6B3C">
        <w:t>rozhodovací samostatnosti podniků, především malých</w:t>
      </w:r>
      <w:r w:rsidR="00946070">
        <w:t xml:space="preserve"> a </w:t>
      </w:r>
      <w:r w:rsidRPr="00BF6B3C">
        <w:t>středních, které</w:t>
      </w:r>
      <w:r w:rsidR="00946070">
        <w:t xml:space="preserve"> v </w:t>
      </w:r>
      <w:r w:rsidRPr="00BF6B3C">
        <w:t>něm působí, zejména pokud jde</w:t>
      </w:r>
      <w:r w:rsidR="00946070">
        <w:t xml:space="preserve"> o </w:t>
      </w:r>
      <w:r w:rsidRPr="00BF6B3C">
        <w:t>jejich nejdůležitější umělecká</w:t>
      </w:r>
      <w:r w:rsidR="00946070">
        <w:t xml:space="preserve"> a </w:t>
      </w:r>
      <w:r w:rsidRPr="00BF6B3C">
        <w:t>finanční rozhodnutí;</w:t>
      </w:r>
    </w:p>
    <w:p w:rsidR="008E4975" w:rsidRPr="00BF6B3C" w:rsidRDefault="008E4975" w:rsidP="008E4975">
      <w:pPr>
        <w:pStyle w:val="Point123"/>
        <w:numPr>
          <w:ilvl w:val="0"/>
          <w:numId w:val="21"/>
        </w:numPr>
      </w:pPr>
      <w:r w:rsidRPr="00BF6B3C">
        <w:t>je nezbytné stimulovat vytváření</w:t>
      </w:r>
      <w:r w:rsidR="00946070">
        <w:t xml:space="preserve"> a </w:t>
      </w:r>
      <w:r w:rsidRPr="00BF6B3C">
        <w:t>růst silných</w:t>
      </w:r>
      <w:r w:rsidR="00946070">
        <w:t xml:space="preserve"> a </w:t>
      </w:r>
      <w:r w:rsidRPr="00BF6B3C">
        <w:t>konkurenceschopných evropských kulturních</w:t>
      </w:r>
      <w:r w:rsidR="00946070">
        <w:t xml:space="preserve"> a </w:t>
      </w:r>
      <w:r w:rsidRPr="00BF6B3C">
        <w:t>kreativních podniků všech velikostí, které jsou schopny konkurovat globálním hráčům jak</w:t>
      </w:r>
      <w:r w:rsidR="00946070">
        <w:t xml:space="preserve"> v </w:t>
      </w:r>
      <w:r w:rsidRPr="00BF6B3C">
        <w:t>obecné rovině, tak konkrétně</w:t>
      </w:r>
      <w:r w:rsidR="00946070">
        <w:t xml:space="preserve"> na </w:t>
      </w:r>
      <w:r w:rsidRPr="00BF6B3C">
        <w:t>trzích,</w:t>
      </w:r>
      <w:r w:rsidR="00946070">
        <w:t xml:space="preserve"> na </w:t>
      </w:r>
      <w:r w:rsidRPr="00BF6B3C">
        <w:t>nichž má EU konkurenční výhodu, či</w:t>
      </w:r>
      <w:r w:rsidR="00946070">
        <w:t xml:space="preserve"> na </w:t>
      </w:r>
      <w:r w:rsidRPr="00BF6B3C">
        <w:t>nově vznikajících trzích, mezi něž patří rozšířená</w:t>
      </w:r>
      <w:r w:rsidR="00946070">
        <w:t xml:space="preserve"> a </w:t>
      </w:r>
      <w:r w:rsidRPr="00BF6B3C">
        <w:t>virtuální realita, videohry nebo umělá inteligence, například pokud se používá</w:t>
      </w:r>
      <w:r w:rsidR="00946070">
        <w:t xml:space="preserve"> k </w:t>
      </w:r>
      <w:r w:rsidRPr="00BF6B3C">
        <w:t>podpoře produkce</w:t>
      </w:r>
      <w:r w:rsidR="00946070">
        <w:t xml:space="preserve"> a </w:t>
      </w:r>
      <w:r w:rsidRPr="00BF6B3C">
        <w:t>přístupu ke kulturním</w:t>
      </w:r>
      <w:r w:rsidR="00946070">
        <w:t xml:space="preserve"> a </w:t>
      </w:r>
      <w:r w:rsidRPr="00BF6B3C">
        <w:t>autorským dílům;</w:t>
      </w:r>
    </w:p>
    <w:p w:rsidR="008E4975" w:rsidRPr="00BF6B3C" w:rsidRDefault="008E4975" w:rsidP="008E4975">
      <w:pPr>
        <w:pStyle w:val="Point123"/>
        <w:numPr>
          <w:ilvl w:val="0"/>
          <w:numId w:val="21"/>
        </w:numPr>
      </w:pPr>
      <w:r w:rsidRPr="00BF6B3C">
        <w:t>nástup globálních digitálních hráčů, kteří</w:t>
      </w:r>
      <w:r w:rsidR="00946070">
        <w:t xml:space="preserve"> na </w:t>
      </w:r>
      <w:r w:rsidRPr="00BF6B3C">
        <w:t>digitálním trhu působí jako tzv. držitelé brány, může kulturním</w:t>
      </w:r>
      <w:r w:rsidR="00946070">
        <w:t xml:space="preserve"> a </w:t>
      </w:r>
      <w:r w:rsidRPr="00BF6B3C">
        <w:t>kreativním odvětvím přinést finanční</w:t>
      </w:r>
      <w:r w:rsidR="00946070">
        <w:t xml:space="preserve"> a </w:t>
      </w:r>
      <w:r w:rsidRPr="00BF6B3C">
        <w:t>tvůrčí příležitosti, ale rovněž může ohrozit jak financování evropské tvorby, tak kulturní</w:t>
      </w:r>
      <w:r w:rsidR="00946070">
        <w:t xml:space="preserve"> a </w:t>
      </w:r>
      <w:r w:rsidRPr="00BF6B3C">
        <w:t>jazykovou rozmanitost;</w:t>
      </w:r>
    </w:p>
    <w:p w:rsidR="008E4975" w:rsidRPr="00BF6B3C" w:rsidRDefault="008E4975" w:rsidP="008E4975">
      <w:pPr>
        <w:pStyle w:val="Point123"/>
        <w:numPr>
          <w:ilvl w:val="0"/>
          <w:numId w:val="21"/>
        </w:numPr>
      </w:pPr>
      <w:r w:rsidRPr="00BF6B3C">
        <w:t>Evropská unie proto musí naléhavě posílit evropské kulturní bohatství</w:t>
      </w:r>
      <w:r w:rsidR="00946070">
        <w:t xml:space="preserve"> a </w:t>
      </w:r>
      <w:r w:rsidRPr="00BF6B3C">
        <w:t>rozmanitost prostřednictvím strategie, která se bude vztahovat</w:t>
      </w:r>
      <w:r w:rsidR="00946070">
        <w:t xml:space="preserve"> na </w:t>
      </w:r>
      <w:r w:rsidRPr="00BF6B3C">
        <w:t>všechna kulturní</w:t>
      </w:r>
      <w:r w:rsidR="00946070">
        <w:t xml:space="preserve"> a </w:t>
      </w:r>
      <w:r w:rsidRPr="00BF6B3C">
        <w:t>kreativní odvětví</w:t>
      </w:r>
      <w:r w:rsidR="00946070">
        <w:t xml:space="preserve"> a </w:t>
      </w:r>
      <w:r w:rsidRPr="00BF6B3C">
        <w:t>průmysl</w:t>
      </w:r>
      <w:r w:rsidR="00946070">
        <w:t xml:space="preserve"> a </w:t>
      </w:r>
      <w:r w:rsidRPr="00BF6B3C">
        <w:t>bude podporovat evropskou kreativitu</w:t>
      </w:r>
      <w:r w:rsidR="00946070">
        <w:t xml:space="preserve"> a </w:t>
      </w:r>
      <w:r w:rsidRPr="00BF6B3C">
        <w:t>rozmanitost kulturních projevů.</w:t>
      </w:r>
    </w:p>
    <w:p w:rsidR="008E4975" w:rsidRPr="00BF6B3C" w:rsidRDefault="008E4975" w:rsidP="008E4975">
      <w:pPr>
        <w:spacing w:before="0" w:after="200" w:line="276" w:lineRule="auto"/>
        <w:rPr>
          <w:rFonts w:eastAsia="Calibri"/>
          <w:i/>
          <w:iCs/>
          <w:szCs w:val="24"/>
        </w:rPr>
      </w:pPr>
      <w:r w:rsidRPr="00BF6B3C">
        <w:rPr>
          <w:i/>
          <w:szCs w:val="24"/>
        </w:rPr>
        <w:br w:type="page"/>
      </w:r>
      <w:r w:rsidRPr="00BF6B3C">
        <w:rPr>
          <w:i/>
          <w:szCs w:val="24"/>
        </w:rPr>
        <w:lastRenderedPageBreak/>
        <w:t>VYZÝVÁ ČLENSKÉ STÁTY, ABY:</w:t>
      </w:r>
    </w:p>
    <w:p w:rsidR="008E4975" w:rsidRPr="00BF6B3C" w:rsidRDefault="008E4975" w:rsidP="008E4975">
      <w:pPr>
        <w:pStyle w:val="Point123"/>
        <w:numPr>
          <w:ilvl w:val="0"/>
          <w:numId w:val="21"/>
        </w:numPr>
      </w:pPr>
      <w:r w:rsidRPr="00BF6B3C">
        <w:t>zahájily konzultace</w:t>
      </w:r>
      <w:r w:rsidR="00946070">
        <w:t xml:space="preserve"> s </w:t>
      </w:r>
      <w:r w:rsidRPr="00BF6B3C">
        <w:t>příslušnými odborníky</w:t>
      </w:r>
      <w:r w:rsidR="00946070">
        <w:t xml:space="preserve"> o </w:t>
      </w:r>
      <w:r w:rsidRPr="00BF6B3C">
        <w:t>společných výzvách</w:t>
      </w:r>
      <w:r w:rsidR="00946070">
        <w:t xml:space="preserve"> a </w:t>
      </w:r>
      <w:r w:rsidRPr="00BF6B3C">
        <w:t>příležitostech pro kulturní</w:t>
      </w:r>
      <w:r w:rsidR="00946070">
        <w:t xml:space="preserve"> a </w:t>
      </w:r>
      <w:r w:rsidRPr="00BF6B3C">
        <w:t>kreativní odvětví</w:t>
      </w:r>
      <w:r w:rsidR="00946070">
        <w:t xml:space="preserve"> a </w:t>
      </w:r>
      <w:r w:rsidRPr="00BF6B3C">
        <w:t>průmysl, zejména</w:t>
      </w:r>
      <w:r w:rsidR="00946070">
        <w:t xml:space="preserve"> v </w:t>
      </w:r>
      <w:r w:rsidRPr="00BF6B3C">
        <w:t>souvislosti</w:t>
      </w:r>
      <w:r w:rsidR="00946070">
        <w:t xml:space="preserve"> s </w:t>
      </w:r>
      <w:r w:rsidRPr="00BF6B3C">
        <w:t>opatřeními</w:t>
      </w:r>
      <w:r w:rsidR="00946070">
        <w:t xml:space="preserve"> a </w:t>
      </w:r>
      <w:r w:rsidRPr="00BF6B3C">
        <w:t>investicemi, jež urychlují souběžnou transformaci</w:t>
      </w:r>
      <w:r w:rsidR="00946070">
        <w:t xml:space="preserve"> a </w:t>
      </w:r>
      <w:r w:rsidRPr="00BF6B3C">
        <w:t>udržitelné oživení;</w:t>
      </w:r>
    </w:p>
    <w:p w:rsidR="008E4975" w:rsidRPr="00BF6B3C" w:rsidRDefault="008E4975" w:rsidP="008E4975">
      <w:pPr>
        <w:pStyle w:val="Point123"/>
        <w:numPr>
          <w:ilvl w:val="0"/>
          <w:numId w:val="21"/>
        </w:numPr>
      </w:pPr>
      <w:r w:rsidRPr="00BF6B3C">
        <w:t>sdílely své zkušenosti</w:t>
      </w:r>
      <w:r w:rsidR="00946070">
        <w:t xml:space="preserve"> a </w:t>
      </w:r>
      <w:r w:rsidRPr="00BF6B3C">
        <w:t>osvědčené postupy, pokud jde</w:t>
      </w:r>
      <w:r w:rsidR="00946070">
        <w:t xml:space="preserve"> o </w:t>
      </w:r>
      <w:r w:rsidRPr="00BF6B3C">
        <w:t>provádění účinných kulturních politik</w:t>
      </w:r>
      <w:r w:rsidR="00946070">
        <w:t xml:space="preserve"> na </w:t>
      </w:r>
      <w:r w:rsidRPr="00BF6B3C">
        <w:t>podporu</w:t>
      </w:r>
      <w:r w:rsidR="00946070">
        <w:t xml:space="preserve"> a </w:t>
      </w:r>
      <w:r w:rsidRPr="00BF6B3C">
        <w:t>řešení konkrétních problematických oblastí ekosystému kulturních</w:t>
      </w:r>
      <w:r w:rsidR="00946070">
        <w:t xml:space="preserve"> a </w:t>
      </w:r>
      <w:r w:rsidRPr="00BF6B3C">
        <w:t>kreativních odvětví</w:t>
      </w:r>
      <w:r w:rsidR="00946070">
        <w:t xml:space="preserve"> na </w:t>
      </w:r>
      <w:r w:rsidRPr="00BF6B3C">
        <w:t>vnitrostátní, regionální</w:t>
      </w:r>
      <w:r w:rsidR="00946070">
        <w:t xml:space="preserve"> a </w:t>
      </w:r>
      <w:r w:rsidRPr="00BF6B3C">
        <w:t>místní úrovni,</w:t>
      </w:r>
      <w:r w:rsidR="00946070">
        <w:t xml:space="preserve"> a </w:t>
      </w:r>
      <w:r w:rsidRPr="00BF6B3C">
        <w:t>prosazovaly účinné způsoby řešení potřeb tohoto ekosystému</w:t>
      </w:r>
      <w:r w:rsidR="00946070">
        <w:t xml:space="preserve"> v </w:t>
      </w:r>
      <w:r w:rsidRPr="00BF6B3C">
        <w:t>jiných oblastech politiky;</w:t>
      </w:r>
    </w:p>
    <w:p w:rsidR="008E4975" w:rsidRPr="00BF6B3C" w:rsidRDefault="008E4975" w:rsidP="008E4975">
      <w:pPr>
        <w:pStyle w:val="Point123"/>
        <w:numPr>
          <w:ilvl w:val="0"/>
          <w:numId w:val="21"/>
        </w:numPr>
      </w:pPr>
      <w:r w:rsidRPr="00BF6B3C">
        <w:t>podporovaly pravidelnou kulturní spolupráci, zejména</w:t>
      </w:r>
      <w:r w:rsidR="00946070">
        <w:t xml:space="preserve"> v </w:t>
      </w:r>
      <w:r w:rsidRPr="00BF6B3C">
        <w:t>příhraničních regionech, které čelí společným výzvám, jako je ztráta tradičních průmyslových odvětví nebo dovedností,</w:t>
      </w:r>
      <w:r w:rsidR="00946070">
        <w:t xml:space="preserve"> a </w:t>
      </w:r>
      <w:r w:rsidRPr="00BF6B3C">
        <w:t>to podporou dialogu</w:t>
      </w:r>
      <w:r w:rsidR="00946070">
        <w:t xml:space="preserve"> s </w:t>
      </w:r>
      <w:r w:rsidRPr="00BF6B3C">
        <w:t>příslušnými zúčastněnými stranami;</w:t>
      </w:r>
    </w:p>
    <w:p w:rsidR="008E4975" w:rsidRPr="00BF6B3C" w:rsidRDefault="008E4975" w:rsidP="008E4975">
      <w:pPr>
        <w:pStyle w:val="Point123"/>
        <w:numPr>
          <w:ilvl w:val="0"/>
          <w:numId w:val="21"/>
        </w:numPr>
      </w:pPr>
      <w:r w:rsidRPr="00BF6B3C">
        <w:t>podněcovaly výzkum</w:t>
      </w:r>
      <w:r w:rsidR="00946070">
        <w:t xml:space="preserve"> v </w:t>
      </w:r>
      <w:r w:rsidRPr="00BF6B3C">
        <w:t>oblasti</w:t>
      </w:r>
      <w:r w:rsidR="00946070">
        <w:t xml:space="preserve"> a </w:t>
      </w:r>
      <w:r w:rsidRPr="00BF6B3C">
        <w:t>ze strany ekosystému kulturních</w:t>
      </w:r>
      <w:r w:rsidR="00946070">
        <w:t xml:space="preserve"> a </w:t>
      </w:r>
      <w:r w:rsidRPr="00BF6B3C">
        <w:t>kreativních odvětví</w:t>
      </w:r>
      <w:r w:rsidR="00946070">
        <w:t xml:space="preserve"> s </w:t>
      </w:r>
      <w:r w:rsidRPr="00BF6B3C">
        <w:t>cílem jednak podpořit vznik</w:t>
      </w:r>
      <w:r w:rsidR="00946070">
        <w:t xml:space="preserve"> a </w:t>
      </w:r>
      <w:r w:rsidRPr="00BF6B3C">
        <w:t>realizaci projektů výzkumu</w:t>
      </w:r>
      <w:r w:rsidR="00946070">
        <w:t xml:space="preserve"> a </w:t>
      </w:r>
      <w:r w:rsidRPr="00BF6B3C">
        <w:t>vývoje, které napomáhají zavádět inovace</w:t>
      </w:r>
      <w:r w:rsidR="00946070">
        <w:t xml:space="preserve"> a </w:t>
      </w:r>
      <w:r w:rsidRPr="00BF6B3C">
        <w:t>posilují dovednosti</w:t>
      </w:r>
      <w:r w:rsidR="00946070">
        <w:t xml:space="preserve"> a </w:t>
      </w:r>
      <w:r w:rsidRPr="00BF6B3C">
        <w:t>konkurenceschopnost,</w:t>
      </w:r>
      <w:r w:rsidR="00946070">
        <w:t xml:space="preserve"> a </w:t>
      </w:r>
      <w:r w:rsidRPr="00BF6B3C">
        <w:t>jednak doplnit probíhající projekty, zejména</w:t>
      </w:r>
      <w:r w:rsidR="00946070">
        <w:t xml:space="preserve"> s </w:t>
      </w:r>
      <w:r w:rsidRPr="00BF6B3C">
        <w:t>podporou programu Horizont Evropa či znalostního</w:t>
      </w:r>
      <w:r w:rsidR="00946070">
        <w:t xml:space="preserve"> a </w:t>
      </w:r>
      <w:r w:rsidRPr="00BF6B3C">
        <w:t>inovačního společenství vytvořeného Evropským inovačním</w:t>
      </w:r>
      <w:r w:rsidR="00946070">
        <w:t xml:space="preserve"> a </w:t>
      </w:r>
      <w:r w:rsidRPr="00BF6B3C">
        <w:t>technologickým institutem (EIT);</w:t>
      </w:r>
    </w:p>
    <w:p w:rsidR="008E4975" w:rsidRPr="00BF6B3C" w:rsidRDefault="008E4975" w:rsidP="008E4975">
      <w:pPr>
        <w:pStyle w:val="Point123"/>
        <w:numPr>
          <w:ilvl w:val="0"/>
          <w:numId w:val="21"/>
        </w:numPr>
      </w:pPr>
      <w:r w:rsidRPr="00BF6B3C">
        <w:t>v rámci ekosystému kulturních</w:t>
      </w:r>
      <w:r w:rsidR="00946070">
        <w:t xml:space="preserve"> a </w:t>
      </w:r>
      <w:r w:rsidRPr="00BF6B3C">
        <w:t>kreativních odvětví podporovaly nezávislé podniky, zejména pokud jde</w:t>
      </w:r>
      <w:r w:rsidR="00946070">
        <w:t xml:space="preserve"> o </w:t>
      </w:r>
      <w:r w:rsidRPr="00BF6B3C">
        <w:t>jejich schopnost vybudovat strukturu, schopnost financovat</w:t>
      </w:r>
      <w:r w:rsidR="00946070">
        <w:t xml:space="preserve"> a </w:t>
      </w:r>
      <w:r w:rsidRPr="00BF6B3C">
        <w:t>šířit původní díla, udržovat</w:t>
      </w:r>
      <w:r w:rsidR="00946070">
        <w:t xml:space="preserve"> a </w:t>
      </w:r>
      <w:r w:rsidRPr="00BF6B3C">
        <w:t>rozvíjet obchodní modely</w:t>
      </w:r>
      <w:r w:rsidR="00946070">
        <w:t xml:space="preserve"> a </w:t>
      </w:r>
      <w:r w:rsidRPr="00BF6B3C">
        <w:t>zachovávat</w:t>
      </w:r>
      <w:r w:rsidR="00946070">
        <w:t xml:space="preserve"> a </w:t>
      </w:r>
      <w:r w:rsidRPr="00BF6B3C">
        <w:t>rozšiřovat svá aktiva</w:t>
      </w:r>
      <w:r w:rsidR="00946070">
        <w:t xml:space="preserve"> a </w:t>
      </w:r>
      <w:r w:rsidRPr="00BF6B3C">
        <w:t>posilovat modely vzdělávání</w:t>
      </w:r>
      <w:r w:rsidR="00946070">
        <w:t xml:space="preserve"> a </w:t>
      </w:r>
      <w:r w:rsidRPr="00BF6B3C">
        <w:t>odborné přípravy, jakož</w:t>
      </w:r>
      <w:r w:rsidR="00946070">
        <w:t xml:space="preserve"> i </w:t>
      </w:r>
      <w:r w:rsidRPr="00BF6B3C">
        <w:t>technologické, environmentální</w:t>
      </w:r>
      <w:r w:rsidR="00946070">
        <w:t xml:space="preserve"> a </w:t>
      </w:r>
      <w:r w:rsidRPr="00BF6B3C">
        <w:t>sociální inovace;</w:t>
      </w:r>
    </w:p>
    <w:p w:rsidR="008E4975" w:rsidRPr="00BF6B3C" w:rsidRDefault="008E4975" w:rsidP="008E4975">
      <w:pPr>
        <w:pStyle w:val="Point123"/>
        <w:numPr>
          <w:ilvl w:val="0"/>
          <w:numId w:val="21"/>
        </w:numPr>
      </w:pPr>
      <w:r w:rsidRPr="00BF6B3C">
        <w:t>plně využívaly nové prvky revidované směrnice</w:t>
      </w:r>
      <w:r w:rsidR="00946070">
        <w:t xml:space="preserve"> o </w:t>
      </w:r>
      <w:r w:rsidRPr="00BF6B3C">
        <w:t>audiovizuálních mediálních službách,</w:t>
      </w:r>
      <w:r w:rsidR="00946070">
        <w:t xml:space="preserve"> a </w:t>
      </w:r>
      <w:r w:rsidRPr="00BF6B3C">
        <w:t>to podporou účinné propagace</w:t>
      </w:r>
      <w:r w:rsidR="00946070">
        <w:t xml:space="preserve"> a </w:t>
      </w:r>
      <w:r w:rsidRPr="00BF6B3C">
        <w:t>upřednostňováním evropských děl ze strany poskytovatelů audiovizuálních mediálních služeb</w:t>
      </w:r>
      <w:r w:rsidR="00946070">
        <w:t xml:space="preserve"> a </w:t>
      </w:r>
      <w:r w:rsidRPr="00BF6B3C">
        <w:t>zvážením přínosů plynoucích</w:t>
      </w:r>
      <w:r w:rsidR="00946070">
        <w:t xml:space="preserve"> z </w:t>
      </w:r>
      <w:r w:rsidRPr="00BF6B3C">
        <w:t>možnosti požadovat finanční příspěvek, což mohou členské státy</w:t>
      </w:r>
      <w:r w:rsidR="00946070">
        <w:t xml:space="preserve"> na </w:t>
      </w:r>
      <w:r w:rsidRPr="00BF6B3C">
        <w:t>základě uvedené směrnice učinit, aby se zajistila životaschopnost evropské produkce, viditelnost děl</w:t>
      </w:r>
      <w:r w:rsidR="00946070">
        <w:t xml:space="preserve"> a </w:t>
      </w:r>
      <w:r w:rsidRPr="00BF6B3C">
        <w:t>jejich šíření</w:t>
      </w:r>
      <w:r w:rsidR="00946070">
        <w:t xml:space="preserve"> v </w:t>
      </w:r>
      <w:r w:rsidRPr="00BF6B3C">
        <w:t>celé Evropě.</w:t>
      </w:r>
    </w:p>
    <w:p w:rsidR="008E4975" w:rsidRPr="00BF6B3C" w:rsidRDefault="008E4975" w:rsidP="00946070">
      <w:pPr>
        <w:rPr>
          <w:rFonts w:eastAsia="Calibri"/>
          <w:i/>
          <w:iCs/>
          <w:szCs w:val="24"/>
        </w:rPr>
      </w:pPr>
      <w:r w:rsidRPr="00BF6B3C">
        <w:rPr>
          <w:i/>
          <w:szCs w:val="24"/>
        </w:rPr>
        <w:br w:type="page"/>
      </w:r>
      <w:r w:rsidRPr="00BF6B3C">
        <w:rPr>
          <w:i/>
          <w:szCs w:val="24"/>
        </w:rPr>
        <w:lastRenderedPageBreak/>
        <w:t>VYZÝVÁ ČLENSKÉ STÁTY A KOMISI, ABY V RÁMCI SVÝCH PŘÍSLUŠNÝCH PRAVOMOCÍ A</w:t>
      </w:r>
      <w:r w:rsidR="00946070">
        <w:rPr>
          <w:i/>
          <w:szCs w:val="24"/>
        </w:rPr>
        <w:t> </w:t>
      </w:r>
      <w:r w:rsidRPr="00BF6B3C">
        <w:rPr>
          <w:i/>
          <w:szCs w:val="24"/>
        </w:rPr>
        <w:t>V</w:t>
      </w:r>
      <w:r w:rsidR="00946070">
        <w:rPr>
          <w:i/>
          <w:szCs w:val="24"/>
        </w:rPr>
        <w:t> </w:t>
      </w:r>
      <w:r w:rsidRPr="00BF6B3C">
        <w:rPr>
          <w:i/>
          <w:szCs w:val="24"/>
        </w:rPr>
        <w:t>SOULADU SE ZÁSADOU SUBSIDIARITY:</w:t>
      </w:r>
    </w:p>
    <w:p w:rsidR="008E4975" w:rsidRPr="00BF6B3C" w:rsidRDefault="008E4975" w:rsidP="008E4975">
      <w:pPr>
        <w:pStyle w:val="Point123"/>
        <w:numPr>
          <w:ilvl w:val="0"/>
          <w:numId w:val="21"/>
        </w:numPr>
      </w:pPr>
      <w:r w:rsidRPr="00BF6B3C">
        <w:t>prováděly takto vymezenou evropskou strategii pro ekosystém kulturních</w:t>
      </w:r>
      <w:r w:rsidR="00946070">
        <w:t xml:space="preserve"> a </w:t>
      </w:r>
      <w:r w:rsidRPr="00BF6B3C">
        <w:t>kreativních odvětví, kterou koordinuje Evropská komise,</w:t>
      </w:r>
      <w:r w:rsidR="00946070">
        <w:t xml:space="preserve"> v </w:t>
      </w:r>
      <w:r w:rsidRPr="00BF6B3C">
        <w:t>úzké spolupráci</w:t>
      </w:r>
      <w:r w:rsidR="00946070">
        <w:t xml:space="preserve"> s </w:t>
      </w:r>
      <w:r w:rsidRPr="00BF6B3C">
        <w:t>členskými státy</w:t>
      </w:r>
      <w:r w:rsidR="00946070">
        <w:t xml:space="preserve"> a </w:t>
      </w:r>
      <w:r w:rsidRPr="00BF6B3C">
        <w:t>vycházely přitom</w:t>
      </w:r>
      <w:r w:rsidR="00946070">
        <w:t xml:space="preserve"> z </w:t>
      </w:r>
      <w:r w:rsidRPr="00BF6B3C">
        <w:t>iniciativ</w:t>
      </w:r>
      <w:r w:rsidR="00946070">
        <w:t xml:space="preserve"> a </w:t>
      </w:r>
      <w:r w:rsidRPr="00BF6B3C">
        <w:t>programů financování EU</w:t>
      </w:r>
      <w:r w:rsidR="00946070">
        <w:t xml:space="preserve"> s </w:t>
      </w:r>
      <w:r w:rsidRPr="00BF6B3C">
        <w:t>cílem využít co nejvíce synergií</w:t>
      </w:r>
      <w:r w:rsidR="00946070">
        <w:t xml:space="preserve"> a </w:t>
      </w:r>
      <w:r w:rsidRPr="00BF6B3C">
        <w:t>zaměřit se</w:t>
      </w:r>
      <w:r w:rsidR="00946070">
        <w:t xml:space="preserve"> na </w:t>
      </w:r>
      <w:r w:rsidRPr="00BF6B3C">
        <w:t>tyto priority:</w:t>
      </w:r>
    </w:p>
    <w:p w:rsidR="008E4975" w:rsidRPr="00BF6B3C" w:rsidRDefault="008E4975" w:rsidP="008E4975">
      <w:pPr>
        <w:numPr>
          <w:ilvl w:val="0"/>
          <w:numId w:val="22"/>
        </w:numPr>
        <w:spacing w:before="360"/>
        <w:outlineLvl w:val="0"/>
        <w:rPr>
          <w:caps/>
          <w:u w:val="single"/>
        </w:rPr>
      </w:pPr>
      <w:r w:rsidRPr="00BF6B3C">
        <w:rPr>
          <w:caps/>
          <w:u w:val="single"/>
        </w:rPr>
        <w:t>Zlepšení přístupu evropských podniků ekosystému kulturních</w:t>
      </w:r>
      <w:r w:rsidR="00946070">
        <w:rPr>
          <w:caps/>
          <w:u w:val="single"/>
        </w:rPr>
        <w:t xml:space="preserve"> a </w:t>
      </w:r>
      <w:r w:rsidRPr="00BF6B3C">
        <w:rPr>
          <w:caps/>
          <w:u w:val="single"/>
        </w:rPr>
        <w:t>kreativních odvětví</w:t>
      </w:r>
      <w:r w:rsidR="00946070">
        <w:rPr>
          <w:caps/>
          <w:u w:val="single"/>
        </w:rPr>
        <w:t xml:space="preserve"> k </w:t>
      </w:r>
      <w:r w:rsidRPr="00BF6B3C">
        <w:rPr>
          <w:caps/>
          <w:u w:val="single"/>
        </w:rPr>
        <w:t>financování:</w:t>
      </w: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</w:pPr>
      <w:r w:rsidRPr="00BF6B3C">
        <w:t>usnadnit přístup</w:t>
      </w:r>
      <w:r w:rsidR="00946070">
        <w:t xml:space="preserve"> k </w:t>
      </w:r>
      <w:r w:rsidRPr="00BF6B3C">
        <w:t>informacím</w:t>
      </w:r>
      <w:r w:rsidR="00946070">
        <w:t xml:space="preserve"> o </w:t>
      </w:r>
      <w:r w:rsidRPr="00BF6B3C">
        <w:t>dostupných evropských finančních prostředcích pro podniky ekosystému kulturních</w:t>
      </w:r>
      <w:r w:rsidR="00946070">
        <w:t xml:space="preserve"> a </w:t>
      </w:r>
      <w:r w:rsidRPr="00BF6B3C">
        <w:t>kreativních odvětví,</w:t>
      </w:r>
      <w:r w:rsidR="00946070">
        <w:t xml:space="preserve"> a </w:t>
      </w:r>
      <w:r w:rsidRPr="00BF6B3C">
        <w:t>to sloučením CulturEU – příručky</w:t>
      </w:r>
      <w:r w:rsidR="00946070">
        <w:t xml:space="preserve"> k </w:t>
      </w:r>
      <w:r w:rsidRPr="00BF6B3C">
        <w:t>financování</w:t>
      </w:r>
      <w:r w:rsidR="00946070">
        <w:t xml:space="preserve"> a </w:t>
      </w:r>
      <w:r w:rsidRPr="00BF6B3C">
        <w:t>interaktivního nástroje pro mapování audiovizuálních</w:t>
      </w:r>
      <w:r w:rsidR="00946070">
        <w:t xml:space="preserve"> a </w:t>
      </w:r>
      <w:r w:rsidRPr="00BF6B3C">
        <w:t>zpravodajských médií vyvinutého Komisí</w:t>
      </w:r>
      <w:r w:rsidR="00946070">
        <w:t xml:space="preserve"> s </w:t>
      </w:r>
      <w:r w:rsidRPr="00BF6B3C">
        <w:t>cílem vytvořit jednotný vícejazyčný digitální portál,</w:t>
      </w:r>
      <w:r w:rsidR="00946070">
        <w:t xml:space="preserve"> na </w:t>
      </w:r>
      <w:r w:rsidRPr="00BF6B3C">
        <w:t>němž budou uvedeny různé možnosti financování pro celý ekosystém kulturních</w:t>
      </w:r>
      <w:r w:rsidR="00946070">
        <w:t xml:space="preserve"> a </w:t>
      </w:r>
      <w:r w:rsidRPr="00BF6B3C">
        <w:t>kreativních odvětví;</w:t>
      </w:r>
    </w:p>
    <w:p w:rsidR="008E4975" w:rsidRPr="00BF6B3C" w:rsidRDefault="008E4975" w:rsidP="008E4975">
      <w:pPr>
        <w:numPr>
          <w:ilvl w:val="0"/>
          <w:numId w:val="39"/>
        </w:numPr>
        <w:ind w:left="567" w:hanging="567"/>
      </w:pPr>
      <w:r w:rsidRPr="00BF6B3C">
        <w:t>usnadnit podnikům ekosystému kulturních</w:t>
      </w:r>
      <w:r w:rsidR="00946070">
        <w:t xml:space="preserve"> a </w:t>
      </w:r>
      <w:r w:rsidRPr="00BF6B3C">
        <w:t>kreativních odvětví, zejména nezávislým společnostem, včetně těch nejmenších, přístup</w:t>
      </w:r>
      <w:r w:rsidR="00946070">
        <w:t xml:space="preserve"> k </w:t>
      </w:r>
      <w:r w:rsidRPr="00BF6B3C">
        <w:t>veřejným</w:t>
      </w:r>
      <w:r w:rsidR="00946070">
        <w:t xml:space="preserve"> a </w:t>
      </w:r>
      <w:r w:rsidRPr="00BF6B3C">
        <w:t>soukromým režimům financování, úvěrům, zárukám, řešením zahrnujícím rizikový kapitál</w:t>
      </w:r>
      <w:r w:rsidR="00946070">
        <w:t xml:space="preserve"> a </w:t>
      </w:r>
      <w:r w:rsidRPr="00BF6B3C">
        <w:t>financování vlastním kapitálem,</w:t>
      </w:r>
      <w:r w:rsidR="00946070">
        <w:t xml:space="preserve"> a </w:t>
      </w:r>
      <w:r w:rsidRPr="00BF6B3C">
        <w:t>to</w:t>
      </w:r>
      <w:r w:rsidR="00946070">
        <w:t xml:space="preserve"> s </w:t>
      </w:r>
      <w:r w:rsidRPr="00BF6B3C">
        <w:t>přihlédnutím ke specifikům těchto podniků,</w:t>
      </w:r>
      <w:r w:rsidR="00946070">
        <w:t xml:space="preserve"> a </w:t>
      </w:r>
      <w:r w:rsidRPr="00BF6B3C">
        <w:t>zjednodušit postupy;</w:t>
      </w:r>
    </w:p>
    <w:p w:rsidR="008E4975" w:rsidRPr="00BF6B3C" w:rsidRDefault="008E4975" w:rsidP="008E4975">
      <w:pPr>
        <w:numPr>
          <w:ilvl w:val="0"/>
          <w:numId w:val="39"/>
        </w:numPr>
        <w:ind w:left="567" w:hanging="567"/>
      </w:pPr>
      <w:r w:rsidRPr="00BF6B3C">
        <w:t>přispívat ke konsolidaci</w:t>
      </w:r>
      <w:r w:rsidR="00946070">
        <w:t xml:space="preserve"> a </w:t>
      </w:r>
      <w:r w:rsidRPr="00BF6B3C">
        <w:t>růstovému potenciálu malých</w:t>
      </w:r>
      <w:r w:rsidR="00946070">
        <w:t xml:space="preserve"> a </w:t>
      </w:r>
      <w:r w:rsidRPr="00BF6B3C">
        <w:t>středních podniků</w:t>
      </w:r>
      <w:r w:rsidR="00946070">
        <w:t xml:space="preserve"> v </w:t>
      </w:r>
      <w:r w:rsidRPr="00BF6B3C">
        <w:t>ekosystému kulturních</w:t>
      </w:r>
      <w:r w:rsidR="00946070">
        <w:t xml:space="preserve"> a </w:t>
      </w:r>
      <w:r w:rsidRPr="00BF6B3C">
        <w:t>kreativních odvětví, například</w:t>
      </w:r>
      <w:r w:rsidR="00946070">
        <w:t xml:space="preserve"> na </w:t>
      </w:r>
      <w:r w:rsidRPr="00BF6B3C">
        <w:t>základě nové kapitálové platformy Media Invest pro audiovizuální odvětví,</w:t>
      </w:r>
      <w:r w:rsidR="00946070">
        <w:t xml:space="preserve"> s </w:t>
      </w:r>
      <w:r w:rsidRPr="00BF6B3C">
        <w:t>cílem podpořit rozvoj inovativních řešení</w:t>
      </w:r>
      <w:r w:rsidR="00946070">
        <w:t xml:space="preserve"> a </w:t>
      </w:r>
      <w:r w:rsidRPr="00BF6B3C">
        <w:t>umožnit evropským malým</w:t>
      </w:r>
      <w:r w:rsidR="00946070">
        <w:t xml:space="preserve"> a </w:t>
      </w:r>
      <w:r w:rsidRPr="00BF6B3C">
        <w:t>středním podnikům působit</w:t>
      </w:r>
      <w:r w:rsidR="00946070">
        <w:t xml:space="preserve"> v </w:t>
      </w:r>
      <w:r w:rsidRPr="00BF6B3C">
        <w:t>celé Unii</w:t>
      </w:r>
      <w:r w:rsidR="00946070">
        <w:t xml:space="preserve"> i </w:t>
      </w:r>
      <w:r w:rsidRPr="00BF6B3C">
        <w:t>mimo ni;</w:t>
      </w:r>
    </w:p>
    <w:p w:rsidR="008E4975" w:rsidRPr="00BF6B3C" w:rsidRDefault="008E4975" w:rsidP="008E4975">
      <w:pPr>
        <w:numPr>
          <w:ilvl w:val="0"/>
          <w:numId w:val="39"/>
        </w:numPr>
        <w:ind w:left="567" w:hanging="567"/>
      </w:pPr>
      <w:r w:rsidRPr="00BF6B3C">
        <w:t>i nadále usnadňovat pákový efekt veřejné podpory</w:t>
      </w:r>
      <w:r w:rsidR="00946070">
        <w:t xml:space="preserve"> a </w:t>
      </w:r>
      <w:r w:rsidRPr="00BF6B3C">
        <w:t>konkurenceschopnost podniků ekosystému kulturních</w:t>
      </w:r>
      <w:r w:rsidR="00946070">
        <w:t xml:space="preserve"> a </w:t>
      </w:r>
      <w:r w:rsidRPr="00BF6B3C">
        <w:t>kreativních odvětví,</w:t>
      </w:r>
      <w:r w:rsidR="00946070">
        <w:t xml:space="preserve"> a </w:t>
      </w:r>
      <w:r w:rsidRPr="00BF6B3C">
        <w:t>to</w:t>
      </w:r>
      <w:r w:rsidR="00946070">
        <w:t xml:space="preserve"> na </w:t>
      </w:r>
      <w:r w:rsidRPr="00BF6B3C">
        <w:t>základě přezkumu uplatňování pravidel státní podpory</w:t>
      </w:r>
      <w:r w:rsidR="00946070">
        <w:t xml:space="preserve"> do </w:t>
      </w:r>
      <w:r w:rsidRPr="00BF6B3C">
        <w:t>konce roku 2023, případně včetně obecného nařízení</w:t>
      </w:r>
      <w:r w:rsidR="00946070">
        <w:t xml:space="preserve"> o </w:t>
      </w:r>
      <w:r w:rsidRPr="00BF6B3C">
        <w:t>blokových výjimkách pro státní podporu, což umožní zohlednit relevantnost</w:t>
      </w:r>
      <w:r w:rsidR="00946070">
        <w:t xml:space="preserve"> a </w:t>
      </w:r>
      <w:r w:rsidRPr="00BF6B3C">
        <w:t>potřebu přizpůsobení</w:t>
      </w:r>
      <w:r w:rsidR="00946070">
        <w:t xml:space="preserve"> v </w:t>
      </w:r>
      <w:r w:rsidRPr="00BF6B3C">
        <w:t>případě kulturního</w:t>
      </w:r>
      <w:r w:rsidR="00946070">
        <w:t xml:space="preserve"> a </w:t>
      </w:r>
      <w:r w:rsidRPr="00BF6B3C">
        <w:t>audiovizuálního odvětví, jako je tisk, videohry, divadlo, studia</w:t>
      </w:r>
      <w:r w:rsidR="00946070">
        <w:t xml:space="preserve"> a </w:t>
      </w:r>
      <w:r w:rsidRPr="00BF6B3C">
        <w:t>hudba;</w:t>
      </w:r>
    </w:p>
    <w:p w:rsidR="008E4975" w:rsidRPr="00BF6B3C" w:rsidRDefault="008E4975" w:rsidP="008E4975">
      <w:pPr>
        <w:tabs>
          <w:tab w:val="num" w:pos="0"/>
        </w:tabs>
        <w:spacing w:before="360"/>
        <w:outlineLvl w:val="0"/>
        <w:rPr>
          <w:bCs/>
          <w:caps/>
          <w:u w:val="single"/>
        </w:rPr>
      </w:pPr>
      <w:r w:rsidRPr="00BF6B3C">
        <w:br w:type="page"/>
      </w:r>
      <w:r w:rsidRPr="00BF6B3C">
        <w:rPr>
          <w:bCs/>
          <w:caps/>
          <w:u w:val="single"/>
        </w:rPr>
        <w:lastRenderedPageBreak/>
        <w:t>Stimulace rozvoje</w:t>
      </w:r>
      <w:r w:rsidR="00946070">
        <w:rPr>
          <w:bCs/>
          <w:caps/>
          <w:u w:val="single"/>
        </w:rPr>
        <w:t xml:space="preserve"> a </w:t>
      </w:r>
      <w:r w:rsidRPr="00BF6B3C">
        <w:rPr>
          <w:bCs/>
          <w:caps/>
          <w:u w:val="single"/>
        </w:rPr>
        <w:t>posilování dovedností, vzdělávání</w:t>
      </w:r>
      <w:r w:rsidR="00946070">
        <w:rPr>
          <w:bCs/>
          <w:caps/>
          <w:u w:val="single"/>
        </w:rPr>
        <w:t xml:space="preserve"> a </w:t>
      </w:r>
      <w:r w:rsidRPr="00BF6B3C">
        <w:rPr>
          <w:bCs/>
          <w:caps/>
          <w:u w:val="single"/>
        </w:rPr>
        <w:t>odborné přípravy, což zahrnuje mimo jiné:</w:t>
      </w: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</w:pPr>
      <w:r w:rsidRPr="00BF6B3C">
        <w:t>zahájení hodnotící studie</w:t>
      </w:r>
      <w:r w:rsidRPr="00BF6B3C">
        <w:rPr>
          <w:vertAlign w:val="superscript"/>
        </w:rPr>
        <w:footnoteReference w:id="4"/>
      </w:r>
      <w:r w:rsidR="00946070">
        <w:t xml:space="preserve"> o </w:t>
      </w:r>
      <w:r w:rsidRPr="00BF6B3C">
        <w:t>nových povoláních</w:t>
      </w:r>
      <w:r w:rsidR="00946070">
        <w:t xml:space="preserve"> a </w:t>
      </w:r>
      <w:r w:rsidRPr="00BF6B3C">
        <w:t>dovednostech potřebných pro digitální transformaci</w:t>
      </w:r>
      <w:r w:rsidR="00946070">
        <w:t xml:space="preserve"> s </w:t>
      </w:r>
      <w:r w:rsidRPr="00BF6B3C">
        <w:t>cílem zaručit</w:t>
      </w:r>
      <w:r w:rsidR="00946070">
        <w:t xml:space="preserve"> a </w:t>
      </w:r>
      <w:r w:rsidRPr="00BF6B3C">
        <w:t>prosazovat kulturní rozmanitost</w:t>
      </w:r>
      <w:r w:rsidR="00946070">
        <w:t xml:space="preserve"> a </w:t>
      </w:r>
      <w:r w:rsidRPr="00BF6B3C">
        <w:t>vypracovat doporučení ohledně dovedností, které jsou účinné, podporují rozmanitost</w:t>
      </w:r>
      <w:r w:rsidR="00946070">
        <w:t xml:space="preserve"> a </w:t>
      </w:r>
      <w:r w:rsidRPr="00BF6B3C">
        <w:t>rovnost</w:t>
      </w:r>
      <w:r w:rsidR="00946070">
        <w:t xml:space="preserve"> a </w:t>
      </w:r>
      <w:r w:rsidRPr="00BF6B3C">
        <w:t>přizpůsobené digitálnímu světu</w:t>
      </w:r>
      <w:r w:rsidR="00946070">
        <w:t xml:space="preserve"> a </w:t>
      </w:r>
      <w:r w:rsidRPr="00BF6B3C">
        <w:t>novým konkurenčním tlakům, jako jsou otázky související</w:t>
      </w:r>
      <w:r w:rsidR="00946070">
        <w:t xml:space="preserve"> s </w:t>
      </w:r>
      <w:r w:rsidRPr="00BF6B3C">
        <w:t>dohledatelností. Studie by měla vycházet</w:t>
      </w:r>
      <w:r w:rsidR="00946070">
        <w:t xml:space="preserve"> z </w:t>
      </w:r>
      <w:r w:rsidRPr="00BF6B3C">
        <w:t>opatření prováděných</w:t>
      </w:r>
      <w:r w:rsidR="00946070">
        <w:t xml:space="preserve"> v </w:t>
      </w:r>
      <w:r w:rsidRPr="00BF6B3C">
        <w:t>rámci Evropského paktu pro dovednosti</w:t>
      </w:r>
      <w:r w:rsidR="00946070">
        <w:t xml:space="preserve"> a </w:t>
      </w:r>
      <w:r w:rsidRPr="00BF6B3C">
        <w:t>případně</w:t>
      </w:r>
      <w:r w:rsidR="00946070">
        <w:t xml:space="preserve"> z </w:t>
      </w:r>
      <w:r w:rsidRPr="00BF6B3C">
        <w:t>příspěvku takových struktur, jako jsou Evropská audiovizuální observatoř nebo Evropská digitální knihovna (Europeana);</w:t>
      </w:r>
    </w:p>
    <w:p w:rsidR="008E4975" w:rsidRPr="00BF6B3C" w:rsidRDefault="008E4975" w:rsidP="008E4975">
      <w:pPr>
        <w:pStyle w:val="ListParagraph"/>
        <w:ind w:left="567"/>
      </w:pP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</w:pPr>
      <w:r w:rsidRPr="00BF6B3C">
        <w:t>pořádání pravidelného fóra</w:t>
      </w:r>
      <w:r w:rsidR="00946070">
        <w:t xml:space="preserve"> o </w:t>
      </w:r>
      <w:r w:rsidRPr="00BF6B3C">
        <w:t>evropském kulturním</w:t>
      </w:r>
      <w:r w:rsidR="00946070">
        <w:t xml:space="preserve"> a </w:t>
      </w:r>
      <w:r w:rsidRPr="00BF6B3C">
        <w:t>kreativním podnikání</w:t>
      </w:r>
      <w:r w:rsidR="00946070">
        <w:t xml:space="preserve"> na </w:t>
      </w:r>
      <w:r w:rsidRPr="00BF6B3C">
        <w:t>základě stávajících iniciativ</w:t>
      </w:r>
      <w:r w:rsidR="00946070">
        <w:t xml:space="preserve"> s </w:t>
      </w:r>
      <w:r w:rsidRPr="00BF6B3C">
        <w:t>cílem posílit šíření osvědčených postupů, vytváření sítí</w:t>
      </w:r>
      <w:r w:rsidR="00946070">
        <w:t xml:space="preserve"> a </w:t>
      </w:r>
      <w:r w:rsidRPr="00BF6B3C">
        <w:t>sdílení myšlenek, pokud jde</w:t>
      </w:r>
      <w:r w:rsidR="00946070">
        <w:t xml:space="preserve"> o </w:t>
      </w:r>
      <w:r w:rsidRPr="00BF6B3C">
        <w:t>aktuální témata</w:t>
      </w:r>
      <w:r w:rsidR="00946070">
        <w:t xml:space="preserve"> a </w:t>
      </w:r>
      <w:r w:rsidRPr="00BF6B3C">
        <w:t>rozvoj odvětví;</w:t>
      </w:r>
    </w:p>
    <w:p w:rsidR="008E4975" w:rsidRPr="00BF6B3C" w:rsidRDefault="008E4975" w:rsidP="008E4975">
      <w:pPr>
        <w:pStyle w:val="ListParagraph"/>
      </w:pP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</w:pPr>
      <w:r w:rsidRPr="00BF6B3C">
        <w:t>rozvíjení vzdělávacích akcí</w:t>
      </w:r>
      <w:r w:rsidR="00946070">
        <w:t xml:space="preserve"> a </w:t>
      </w:r>
      <w:r w:rsidRPr="00BF6B3C">
        <w:t>ekologických nástrojů se zaměřením</w:t>
      </w:r>
      <w:r w:rsidR="00946070">
        <w:t xml:space="preserve"> na </w:t>
      </w:r>
      <w:r w:rsidRPr="00BF6B3C">
        <w:t>řešení environmentálních výzev pro jednotlivé aktéry ekosystému kulturních</w:t>
      </w:r>
      <w:r w:rsidR="00946070">
        <w:t xml:space="preserve"> a </w:t>
      </w:r>
      <w:r w:rsidRPr="00BF6B3C">
        <w:t>kreativních odvětví</w:t>
      </w:r>
      <w:r w:rsidR="00946070">
        <w:t xml:space="preserve"> a </w:t>
      </w:r>
      <w:r w:rsidRPr="00BF6B3C">
        <w:t>posílení výměny osvědčených postupů, zejména</w:t>
      </w:r>
      <w:r w:rsidR="00946070">
        <w:t xml:space="preserve"> v </w:t>
      </w:r>
      <w:r w:rsidRPr="00BF6B3C">
        <w:t>součinnosti</w:t>
      </w:r>
      <w:r w:rsidR="00946070">
        <w:t xml:space="preserve"> s </w:t>
      </w:r>
      <w:r w:rsidRPr="00BF6B3C">
        <w:t>Evropským paktem pro dovednosti.</w:t>
      </w:r>
    </w:p>
    <w:p w:rsidR="008E4975" w:rsidRPr="00BF6B3C" w:rsidRDefault="008E4975" w:rsidP="008E4975">
      <w:pPr>
        <w:tabs>
          <w:tab w:val="num" w:pos="0"/>
        </w:tabs>
        <w:spacing w:before="360"/>
        <w:outlineLvl w:val="0"/>
        <w:rPr>
          <w:caps/>
          <w:u w:val="single"/>
        </w:rPr>
      </w:pPr>
      <w:r w:rsidRPr="00BF6B3C">
        <w:rPr>
          <w:caps/>
          <w:u w:val="single"/>
        </w:rPr>
        <w:t>Zachování</w:t>
      </w:r>
      <w:r w:rsidR="00946070">
        <w:rPr>
          <w:caps/>
          <w:u w:val="single"/>
        </w:rPr>
        <w:t xml:space="preserve"> a </w:t>
      </w:r>
      <w:r w:rsidRPr="00BF6B3C">
        <w:rPr>
          <w:caps/>
          <w:u w:val="single"/>
        </w:rPr>
        <w:t>opětovné potvrzení evropského KULTURNÍHO BOHATSTVÍ A ROZMANITOSTI</w:t>
      </w:r>
      <w:r w:rsidR="00946070">
        <w:rPr>
          <w:caps/>
          <w:u w:val="single"/>
        </w:rPr>
        <w:t xml:space="preserve"> v </w:t>
      </w:r>
      <w:r w:rsidRPr="00BF6B3C">
        <w:rPr>
          <w:caps/>
          <w:u w:val="single"/>
        </w:rPr>
        <w:t>digitálním věku, což zahrnuje mimo jiné:</w:t>
      </w: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hanging="720"/>
      </w:pPr>
      <w:r w:rsidRPr="00BF6B3C">
        <w:t>posilování evropských strategických kulturních statků</w:t>
      </w:r>
      <w:r w:rsidR="00946070">
        <w:t xml:space="preserve"> a </w:t>
      </w:r>
      <w:r w:rsidRPr="00BF6B3C">
        <w:t>jejich strategické autonomie</w:t>
      </w:r>
      <w:r w:rsidR="00946070">
        <w:t xml:space="preserve"> s </w:t>
      </w:r>
      <w:r w:rsidRPr="00BF6B3C">
        <w:t>cílem zajistit pro evropské</w:t>
      </w:r>
      <w:r w:rsidR="00946070">
        <w:t xml:space="preserve"> i </w:t>
      </w:r>
      <w:r w:rsidRPr="00BF6B3C">
        <w:t>celosvětové publikum faktický přístup</w:t>
      </w:r>
      <w:r w:rsidR="00946070">
        <w:t xml:space="preserve"> k </w:t>
      </w:r>
      <w:r w:rsidRPr="00BF6B3C">
        <w:t>rozmanitosti kulturních projevů</w:t>
      </w:r>
      <w:r w:rsidR="00946070">
        <w:t xml:space="preserve"> v </w:t>
      </w:r>
      <w:r w:rsidRPr="00BF6B3C">
        <w:t>Evropě, což odráží hodnoty EU,</w:t>
      </w:r>
      <w:r w:rsidR="00946070">
        <w:t xml:space="preserve"> a </w:t>
      </w:r>
      <w:r w:rsidRPr="00BF6B3C">
        <w:t>podpořit evropský ekosystém kulturních</w:t>
      </w:r>
      <w:r w:rsidR="00946070">
        <w:t xml:space="preserve"> a </w:t>
      </w:r>
      <w:r w:rsidRPr="00BF6B3C">
        <w:t>kreativních odvětví při zachovávání</w:t>
      </w:r>
      <w:r w:rsidR="00946070">
        <w:t xml:space="preserve"> a </w:t>
      </w:r>
      <w:r w:rsidRPr="00BF6B3C">
        <w:t>posilování své konkurenční výhody;</w:t>
      </w:r>
    </w:p>
    <w:p w:rsidR="008E4975" w:rsidRPr="00BF6B3C" w:rsidRDefault="008E4975" w:rsidP="008E4975">
      <w:pPr>
        <w:pStyle w:val="ListParagraph"/>
      </w:pP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hanging="720"/>
      </w:pPr>
      <w:r w:rsidRPr="00BF6B3C">
        <w:t>ochranu nositelů autorského práva</w:t>
      </w:r>
      <w:r w:rsidR="00946070">
        <w:t xml:space="preserve"> a </w:t>
      </w:r>
      <w:r w:rsidRPr="00BF6B3C">
        <w:t>práv</w:t>
      </w:r>
      <w:r w:rsidR="00946070">
        <w:t xml:space="preserve"> s </w:t>
      </w:r>
      <w:r w:rsidRPr="00BF6B3C">
        <w:t>ním souvisejících</w:t>
      </w:r>
      <w:r w:rsidR="00946070">
        <w:t xml:space="preserve"> a </w:t>
      </w:r>
      <w:r w:rsidRPr="00BF6B3C">
        <w:t>zajištění spravedlivé odměny</w:t>
      </w:r>
      <w:r w:rsidR="00946070">
        <w:t xml:space="preserve"> a </w:t>
      </w:r>
      <w:r w:rsidRPr="00BF6B3C">
        <w:t>sdílení hodnot již</w:t>
      </w:r>
      <w:r w:rsidR="00946070">
        <w:t xml:space="preserve"> od </w:t>
      </w:r>
      <w:r w:rsidRPr="00BF6B3C">
        <w:t>fáze vývoje evropského obsahu, při současném zaručení transparentnosti</w:t>
      </w:r>
      <w:r w:rsidR="00946070">
        <w:t xml:space="preserve"> u </w:t>
      </w:r>
      <w:r w:rsidRPr="00BF6B3C">
        <w:t>provozních údajů, zejména pokud jde</w:t>
      </w:r>
      <w:r w:rsidR="00946070">
        <w:t xml:space="preserve"> o </w:t>
      </w:r>
      <w:r w:rsidRPr="00BF6B3C">
        <w:t>používání</w:t>
      </w:r>
      <w:r w:rsidR="00946070">
        <w:t xml:space="preserve"> a </w:t>
      </w:r>
      <w:r w:rsidRPr="00BF6B3C">
        <w:t>úspěšnost děl</w:t>
      </w:r>
      <w:r w:rsidR="00946070">
        <w:t xml:space="preserve"> a </w:t>
      </w:r>
      <w:r w:rsidRPr="00BF6B3C">
        <w:t>jiných chráněných předmětů;</w:t>
      </w: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</w:pPr>
      <w:r w:rsidRPr="00BF6B3C">
        <w:br w:type="page"/>
      </w:r>
      <w:r w:rsidRPr="00BF6B3C">
        <w:lastRenderedPageBreak/>
        <w:t>další rozvoj kreativity</w:t>
      </w:r>
      <w:r w:rsidR="00946070">
        <w:t xml:space="preserve"> a </w:t>
      </w:r>
      <w:r w:rsidRPr="00BF6B3C">
        <w:t>nezávislé produkce evropských děl poskytováním příznivého rámce podnikům, který jim umožní účinnou správu jejich práv duševního vlastnictví, zejména autorského práva</w:t>
      </w:r>
      <w:r w:rsidR="00946070">
        <w:t xml:space="preserve"> a </w:t>
      </w:r>
      <w:r w:rsidRPr="00BF6B3C">
        <w:t>práv</w:t>
      </w:r>
      <w:r w:rsidR="00946070">
        <w:t xml:space="preserve"> s </w:t>
      </w:r>
      <w:r w:rsidRPr="00BF6B3C">
        <w:t>ním souvisejících,</w:t>
      </w:r>
      <w:r w:rsidR="00946070">
        <w:t xml:space="preserve"> a </w:t>
      </w:r>
      <w:r w:rsidRPr="00BF6B3C">
        <w:t>jejich nehmotných aktiv, například prosazováním datové infrastruktury autorských práv připravené pro digitální věk. V tomto ohledu by měla být</w:t>
      </w:r>
      <w:r w:rsidR="00946070">
        <w:t xml:space="preserve"> v </w:t>
      </w:r>
      <w:r w:rsidRPr="00BF6B3C">
        <w:t>rámci audiovizuálního odvětví zvláštní pozornost věnována koprodukcím</w:t>
      </w:r>
      <w:r w:rsidR="00946070">
        <w:t xml:space="preserve"> a </w:t>
      </w:r>
      <w:r w:rsidRPr="00BF6B3C">
        <w:t>teritorialitě práv, jež mají klíčový význam pro udržitelné financování odvětví</w:t>
      </w:r>
      <w:r w:rsidR="00946070">
        <w:t xml:space="preserve"> a </w:t>
      </w:r>
      <w:r w:rsidRPr="00BF6B3C">
        <w:t>distribuční strategie;</w:t>
      </w:r>
    </w:p>
    <w:p w:rsidR="008E4975" w:rsidRPr="00BF6B3C" w:rsidRDefault="008E4975" w:rsidP="008E4975">
      <w:pPr>
        <w:pStyle w:val="ListParagraph"/>
      </w:pP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</w:pPr>
      <w:r w:rsidRPr="00BF6B3C">
        <w:t>využití stávajících iniciativ EU (Start-up Europe Club, Creative Business Cup, Enterprise Europe Network, evropská centra pro digitální inovace) prostřednictvím programů pro urychlení rozvoje, které by mohly probíhat formou vzdělávacích programů, poradenství</w:t>
      </w:r>
      <w:r w:rsidR="00946070">
        <w:t xml:space="preserve"> a </w:t>
      </w:r>
      <w:r w:rsidRPr="00BF6B3C">
        <w:t>vytváření sítí se zaměřením</w:t>
      </w:r>
      <w:r w:rsidR="00946070">
        <w:t xml:space="preserve"> na </w:t>
      </w:r>
      <w:r w:rsidRPr="00BF6B3C">
        <w:t>stimulaci inovativních začínajících podniků</w:t>
      </w:r>
      <w:r w:rsidR="00946070">
        <w:t xml:space="preserve"> v </w:t>
      </w:r>
      <w:r w:rsidRPr="00BF6B3C">
        <w:t>rámci ekosystému kulturních</w:t>
      </w:r>
      <w:r w:rsidR="00946070">
        <w:t xml:space="preserve"> a </w:t>
      </w:r>
      <w:r w:rsidRPr="00BF6B3C">
        <w:t>kreativních odvětví mezi evropskými malými</w:t>
      </w:r>
      <w:r w:rsidR="00946070">
        <w:t xml:space="preserve"> a </w:t>
      </w:r>
      <w:r w:rsidRPr="00BF6B3C">
        <w:t>středními podniky</w:t>
      </w:r>
      <w:r w:rsidR="00946070">
        <w:t xml:space="preserve"> s </w:t>
      </w:r>
      <w:r w:rsidRPr="00BF6B3C">
        <w:t>vysokým potenciálem;</w:t>
      </w:r>
    </w:p>
    <w:p w:rsidR="008E4975" w:rsidRPr="00BF6B3C" w:rsidRDefault="008E4975" w:rsidP="008E4975">
      <w:pPr>
        <w:pStyle w:val="ListParagraph"/>
      </w:pP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</w:pPr>
      <w:r w:rsidRPr="00BF6B3C">
        <w:t>šíření</w:t>
      </w:r>
      <w:r w:rsidR="00946070">
        <w:t xml:space="preserve"> a </w:t>
      </w:r>
      <w:r w:rsidRPr="00BF6B3C">
        <w:t>prosazování nejnovějších průlomových technologií</w:t>
      </w:r>
      <w:r w:rsidR="00946070">
        <w:t xml:space="preserve"> v </w:t>
      </w:r>
      <w:r w:rsidRPr="00BF6B3C">
        <w:t>rámci ekosystému kulturních</w:t>
      </w:r>
      <w:r w:rsidR="00946070">
        <w:t xml:space="preserve"> a </w:t>
      </w:r>
      <w:r w:rsidRPr="00BF6B3C">
        <w:t>kreativních odvětví, zejména</w:t>
      </w:r>
      <w:r w:rsidR="00946070">
        <w:t xml:space="preserve"> na </w:t>
      </w:r>
      <w:r w:rsidRPr="00BF6B3C">
        <w:t>základě práce budoucího znalostního</w:t>
      </w:r>
      <w:r w:rsidR="00946070">
        <w:t xml:space="preserve"> a </w:t>
      </w:r>
      <w:r w:rsidRPr="00BF6B3C">
        <w:t>inovačního společenství pro kulturní</w:t>
      </w:r>
      <w:r w:rsidR="00946070">
        <w:t xml:space="preserve"> a </w:t>
      </w:r>
      <w:r w:rsidRPr="00BF6B3C">
        <w:t>kreativní odvětví;</w:t>
      </w:r>
      <w:r w:rsidR="00946070">
        <w:t xml:space="preserve"> a v </w:t>
      </w:r>
      <w:r w:rsidRPr="00BF6B3C">
        <w:t>této souvislosti mimo jiné</w:t>
      </w:r>
      <w:r w:rsidR="00946070">
        <w:t xml:space="preserve"> i </w:t>
      </w:r>
      <w:r w:rsidRPr="00BF6B3C">
        <w:t>prosazování odpovědné</w:t>
      </w:r>
      <w:r w:rsidR="00946070">
        <w:t xml:space="preserve"> a </w:t>
      </w:r>
      <w:r w:rsidRPr="00BF6B3C">
        <w:t>etické správy údajů, zejména ochrany soukromí již</w:t>
      </w:r>
      <w:r w:rsidR="00946070">
        <w:t xml:space="preserve"> od </w:t>
      </w:r>
      <w:r w:rsidRPr="00BF6B3C">
        <w:t>návrhu,</w:t>
      </w:r>
      <w:r w:rsidR="00946070">
        <w:t xml:space="preserve"> a </w:t>
      </w:r>
      <w:r w:rsidRPr="00BF6B3C">
        <w:t>využívání technologií</w:t>
      </w:r>
      <w:r w:rsidR="00946070">
        <w:t xml:space="preserve"> v </w:t>
      </w:r>
      <w:r w:rsidRPr="00BF6B3C">
        <w:t>rámci úsilí</w:t>
      </w:r>
      <w:r w:rsidR="00946070">
        <w:t xml:space="preserve"> o </w:t>
      </w:r>
      <w:r w:rsidRPr="00BF6B3C">
        <w:t>další rozvoj digitální suverenity Evropy;</w:t>
      </w:r>
    </w:p>
    <w:p w:rsidR="008E4975" w:rsidRPr="00BF6B3C" w:rsidRDefault="008E4975" w:rsidP="008E4975">
      <w:pPr>
        <w:pStyle w:val="ListParagraph"/>
      </w:pP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</w:pPr>
      <w:r w:rsidRPr="00BF6B3C">
        <w:t>spuštění evropské inovační soutěže, vycházející ze stávajících iniciativ, jako jsou Evropská rada pro inovace</w:t>
      </w:r>
      <w:r w:rsidR="00946070">
        <w:t xml:space="preserve"> a </w:t>
      </w:r>
      <w:r w:rsidRPr="00BF6B3C">
        <w:t>budoucí znalostní</w:t>
      </w:r>
      <w:r w:rsidR="00946070">
        <w:t xml:space="preserve"> a </w:t>
      </w:r>
      <w:r w:rsidRPr="00BF6B3C">
        <w:t>inovační společenství pro kulturní</w:t>
      </w:r>
      <w:r w:rsidR="00946070">
        <w:t xml:space="preserve"> a </w:t>
      </w:r>
      <w:r w:rsidRPr="00BF6B3C">
        <w:t>kreativní odvětví,</w:t>
      </w:r>
      <w:r w:rsidR="00946070">
        <w:t xml:space="preserve"> s </w:t>
      </w:r>
      <w:r w:rsidRPr="00BF6B3C">
        <w:t>cílem prosazovat</w:t>
      </w:r>
      <w:r w:rsidR="00946070">
        <w:t xml:space="preserve"> v </w:t>
      </w:r>
      <w:r w:rsidRPr="00BF6B3C">
        <w:t>rámci ekosystému kulturních</w:t>
      </w:r>
      <w:r w:rsidR="00946070">
        <w:t xml:space="preserve"> a </w:t>
      </w:r>
      <w:r w:rsidRPr="00BF6B3C">
        <w:t>kreativních odvětví projekty, které plně využívají strukturujících technologií tím, že vytvářejí tržně orientovaná</w:t>
      </w:r>
      <w:r w:rsidR="00946070">
        <w:t xml:space="preserve"> a </w:t>
      </w:r>
      <w:r w:rsidRPr="00BF6B3C">
        <w:t>inovativní přelomová řešení (AV/VR, data velkého objemu, umělá inteligence, blockchain, holochain, technologie 3D, modelování, digitální makety, metaverze atd.);</w:t>
      </w:r>
    </w:p>
    <w:p w:rsidR="008E4975" w:rsidRPr="00BF6B3C" w:rsidRDefault="008E4975" w:rsidP="008E4975">
      <w:pPr>
        <w:pStyle w:val="ListParagraph"/>
      </w:pP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</w:pPr>
      <w:r w:rsidRPr="00BF6B3C">
        <w:t>usnadňování využívání těchto technologií pro všechny skupiny osob, zejména pro osoby</w:t>
      </w:r>
      <w:r w:rsidR="00946070">
        <w:t xml:space="preserve"> s </w:t>
      </w:r>
      <w:r w:rsidRPr="00BF6B3C">
        <w:t>omezeným přístupem</w:t>
      </w:r>
      <w:r w:rsidR="00946070">
        <w:t xml:space="preserve"> k </w:t>
      </w:r>
      <w:r w:rsidRPr="00BF6B3C">
        <w:t>digitálním technologiím</w:t>
      </w:r>
      <w:r w:rsidR="00946070">
        <w:t xml:space="preserve"> a </w:t>
      </w:r>
      <w:r w:rsidRPr="00BF6B3C">
        <w:t>pro osoby se zdravotním postižením, zejména prosazováním digitálních dovedností</w:t>
      </w:r>
      <w:r w:rsidR="00946070">
        <w:t xml:space="preserve"> a </w:t>
      </w:r>
      <w:r w:rsidRPr="00BF6B3C">
        <w:t>mediální gramotnosti,</w:t>
      </w:r>
      <w:r w:rsidR="00946070">
        <w:t xml:space="preserve"> s </w:t>
      </w:r>
      <w:r w:rsidRPr="00BF6B3C">
        <w:t>náležitým zohledněním zvláštních práv</w:t>
      </w:r>
      <w:r w:rsidR="00946070">
        <w:t xml:space="preserve"> a </w:t>
      </w:r>
      <w:r w:rsidRPr="00BF6B3C">
        <w:t>potřeb dětí</w:t>
      </w:r>
      <w:r w:rsidR="00946070">
        <w:t xml:space="preserve"> a </w:t>
      </w:r>
      <w:r w:rsidRPr="00BF6B3C">
        <w:t>mládeže;</w:t>
      </w: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  <w:rPr>
          <w:bCs/>
        </w:rPr>
      </w:pPr>
      <w:r w:rsidRPr="00BF6B3C">
        <w:br w:type="page"/>
      </w:r>
      <w:r w:rsidRPr="00BF6B3C">
        <w:lastRenderedPageBreak/>
        <w:t>prosazování strategických přístupů</w:t>
      </w:r>
      <w:r w:rsidR="00946070">
        <w:t xml:space="preserve"> k </w:t>
      </w:r>
      <w:r w:rsidRPr="00BF6B3C">
        <w:t>dohledatelnosti online evropského kulturního obsahu ve všech úředních jazycích EU, zejména</w:t>
      </w:r>
      <w:r w:rsidR="00946070">
        <w:t xml:space="preserve"> v </w:t>
      </w:r>
      <w:r w:rsidRPr="00BF6B3C">
        <w:t>případě nezávislých děl,</w:t>
      </w:r>
      <w:r w:rsidR="00946070">
        <w:t xml:space="preserve"> a </w:t>
      </w:r>
      <w:r w:rsidRPr="00BF6B3C">
        <w:t>to případně</w:t>
      </w:r>
      <w:r w:rsidR="00946070">
        <w:t xml:space="preserve"> na </w:t>
      </w:r>
      <w:r w:rsidRPr="00BF6B3C">
        <w:t>základě silné součinnosti</w:t>
      </w:r>
      <w:r w:rsidR="00946070">
        <w:t xml:space="preserve"> s </w:t>
      </w:r>
      <w:r w:rsidRPr="00BF6B3C">
        <w:t>Europeanou, Agoratekou</w:t>
      </w:r>
      <w:r w:rsidRPr="00BF6B3C">
        <w:rPr>
          <w:vertAlign w:val="superscript"/>
        </w:rPr>
        <w:footnoteReference w:id="5"/>
      </w:r>
      <w:r w:rsidRPr="00BF6B3C">
        <w:t>, skupinou ERGA</w:t>
      </w:r>
      <w:r w:rsidRPr="00BF6B3C">
        <w:rPr>
          <w:vertAlign w:val="superscript"/>
        </w:rPr>
        <w:footnoteReference w:id="6"/>
      </w:r>
      <w:r w:rsidRPr="00BF6B3C">
        <w:t>, Eurimages</w:t>
      </w:r>
      <w:r w:rsidRPr="00BF6B3C">
        <w:rPr>
          <w:vertAlign w:val="superscript"/>
        </w:rPr>
        <w:footnoteReference w:id="7"/>
      </w:r>
      <w:r w:rsidR="00946070">
        <w:t xml:space="preserve"> a </w:t>
      </w:r>
      <w:r w:rsidRPr="00BF6B3C">
        <w:t>Evropskou audiovizuální observatoří</w:t>
      </w:r>
      <w:r w:rsidR="00946070">
        <w:t xml:space="preserve"> a v </w:t>
      </w:r>
      <w:r w:rsidRPr="00BF6B3C">
        <w:t>rámci připravovaného datového prostoru pro kulturní dědictví;</w:t>
      </w: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  <w:rPr>
          <w:bCs/>
        </w:rPr>
      </w:pPr>
      <w:r w:rsidRPr="00BF6B3C">
        <w:t>cílem těchto iniciativ by bylo poskytnout rámec pro pravidelnou odbornou výměnu informací (například prostřednictvím evropského fóra pro dohledatelnost); zahájit studie mapující stávající postupy</w:t>
      </w:r>
      <w:r w:rsidR="00946070">
        <w:t xml:space="preserve"> a </w:t>
      </w:r>
      <w:r w:rsidRPr="00BF6B3C">
        <w:t>očekávání</w:t>
      </w:r>
      <w:r w:rsidR="00946070">
        <w:t xml:space="preserve"> v </w:t>
      </w:r>
      <w:r w:rsidRPr="00BF6B3C">
        <w:t>souvislosti</w:t>
      </w:r>
      <w:r w:rsidR="00946070">
        <w:t xml:space="preserve"> s </w:t>
      </w:r>
      <w:r w:rsidRPr="00BF6B3C">
        <w:t>dohledatelností</w:t>
      </w:r>
      <w:r w:rsidR="00946070">
        <w:t xml:space="preserve"> v </w:t>
      </w:r>
      <w:r w:rsidRPr="00BF6B3C">
        <w:t>rámci celého kulturního</w:t>
      </w:r>
      <w:r w:rsidR="00946070">
        <w:t xml:space="preserve"> a </w:t>
      </w:r>
      <w:r w:rsidRPr="00BF6B3C">
        <w:t>kreativního odvětví</w:t>
      </w:r>
      <w:r w:rsidR="00946070">
        <w:t xml:space="preserve"> a </w:t>
      </w:r>
      <w:r w:rsidRPr="00BF6B3C">
        <w:t>průmyslu; podpořit lepší chápání úlohy doporučovacích algoritmů při prosazování evropských děl</w:t>
      </w:r>
      <w:r w:rsidR="00946070">
        <w:t xml:space="preserve"> a </w:t>
      </w:r>
      <w:r w:rsidRPr="00BF6B3C">
        <w:t>posoudit jejich transparentnost;</w:t>
      </w:r>
      <w:r w:rsidR="00946070">
        <w:t xml:space="preserve"> a </w:t>
      </w:r>
      <w:r w:rsidRPr="00BF6B3C">
        <w:t>případně předložit návrhy doporučení zejména</w:t>
      </w:r>
      <w:r w:rsidR="00946070">
        <w:t xml:space="preserve"> v </w:t>
      </w:r>
      <w:r w:rsidRPr="00BF6B3C">
        <w:t>oblasti normalizace, poskytování metadat, interoperability</w:t>
      </w:r>
      <w:r w:rsidR="00946070">
        <w:t xml:space="preserve"> a </w:t>
      </w:r>
      <w:r w:rsidRPr="00BF6B3C">
        <w:t>nástrojů pro usnadnění přístupu publika;</w:t>
      </w:r>
    </w:p>
    <w:p w:rsidR="008E4975" w:rsidRPr="00BF6B3C" w:rsidRDefault="008E4975" w:rsidP="00946070">
      <w:pPr>
        <w:spacing w:before="360"/>
        <w:outlineLvl w:val="0"/>
        <w:rPr>
          <w:bCs/>
          <w:caps/>
          <w:u w:val="single"/>
        </w:rPr>
      </w:pPr>
      <w:r w:rsidRPr="00BF6B3C">
        <w:rPr>
          <w:bCs/>
          <w:caps/>
          <w:u w:val="single"/>
        </w:rPr>
        <w:t>Posílení vývozu ze strany PODNIKŮ EKOSYSTÉMU KULTURNÍHO A KREATIVNÍHO ODVĚTVÍ, což zahrnuje mimo jiné:</w:t>
      </w: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  <w:rPr>
          <w:bCs/>
        </w:rPr>
      </w:pPr>
      <w:r w:rsidRPr="00BF6B3C">
        <w:t>stimulaci iniciativ</w:t>
      </w:r>
      <w:r w:rsidR="00946070">
        <w:t xml:space="preserve"> na </w:t>
      </w:r>
      <w:r w:rsidRPr="00BF6B3C">
        <w:t>posílení kapacit evropských společností pro působení</w:t>
      </w:r>
      <w:r w:rsidR="00946070">
        <w:t xml:space="preserve"> na </w:t>
      </w:r>
      <w:r w:rsidRPr="00BF6B3C">
        <w:t>zahraničním trhu, jako jsou evropské imerzní programy nebo jiné propagační projekty prováděné prostřednictvím programu Kreativní Evropa, které by mohly podpořit vývozní strategie těchto společností</w:t>
      </w:r>
      <w:r w:rsidR="00946070">
        <w:t xml:space="preserve"> a </w:t>
      </w:r>
      <w:r w:rsidRPr="00BF6B3C">
        <w:t>posílit jejich usazování</w:t>
      </w:r>
      <w:r w:rsidR="00946070">
        <w:t xml:space="preserve"> na </w:t>
      </w:r>
      <w:r w:rsidRPr="00BF6B3C">
        <w:t>trzích</w:t>
      </w:r>
      <w:r w:rsidR="00946070">
        <w:t xml:space="preserve"> s </w:t>
      </w:r>
      <w:r w:rsidRPr="00BF6B3C">
        <w:t>vysokým potenciálem;</w:t>
      </w:r>
    </w:p>
    <w:p w:rsidR="008E4975" w:rsidRPr="00BF6B3C" w:rsidRDefault="008E4975" w:rsidP="008E4975">
      <w:pPr>
        <w:pStyle w:val="ListParagraph"/>
        <w:ind w:left="567"/>
        <w:rPr>
          <w:bCs/>
        </w:rPr>
      </w:pP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  <w:rPr>
          <w:bCs/>
        </w:rPr>
      </w:pPr>
      <w:r w:rsidRPr="00BF6B3C">
        <w:t>podporu účasti podniků ekosystému kulturního</w:t>
      </w:r>
      <w:r w:rsidR="00946070">
        <w:t xml:space="preserve"> a </w:t>
      </w:r>
      <w:r w:rsidRPr="00BF6B3C">
        <w:t>kreativního odvětví</w:t>
      </w:r>
      <w:r w:rsidR="00946070">
        <w:t xml:space="preserve"> na </w:t>
      </w:r>
      <w:r w:rsidRPr="00BF6B3C">
        <w:t>významných odvětvových akcích, jako jsou veletrhy</w:t>
      </w:r>
      <w:r w:rsidR="00946070">
        <w:t xml:space="preserve"> a </w:t>
      </w:r>
      <w:r w:rsidRPr="00BF6B3C">
        <w:t>obchodní výstavy,</w:t>
      </w:r>
      <w:r w:rsidR="00946070">
        <w:t xml:space="preserve"> za </w:t>
      </w:r>
      <w:r w:rsidRPr="00BF6B3C">
        <w:t>pomoci stávajících iniciativ</w:t>
      </w:r>
      <w:r w:rsidR="00946070">
        <w:t xml:space="preserve"> na </w:t>
      </w:r>
      <w:r w:rsidRPr="00BF6B3C">
        <w:t>vnitrostátní nebo regionální úrovni, například prostřednictvím přeshraniční cílené spolupráce nebo síťového přístupu;</w:t>
      </w:r>
    </w:p>
    <w:p w:rsidR="008E4975" w:rsidRPr="00BF6B3C" w:rsidRDefault="008E4975" w:rsidP="008E4975">
      <w:pPr>
        <w:pStyle w:val="ListParagraph"/>
        <w:rPr>
          <w:bCs/>
        </w:rPr>
      </w:pP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  <w:rPr>
          <w:bCs/>
        </w:rPr>
      </w:pPr>
      <w:r w:rsidRPr="00BF6B3C">
        <w:t>podporu příležitostí</w:t>
      </w:r>
      <w:r w:rsidR="00946070">
        <w:t xml:space="preserve"> k </w:t>
      </w:r>
      <w:r w:rsidRPr="00BF6B3C">
        <w:t>partnerství</w:t>
      </w:r>
      <w:r w:rsidR="00946070">
        <w:t xml:space="preserve"> a </w:t>
      </w:r>
      <w:r w:rsidRPr="00BF6B3C">
        <w:t>ke spolupráci mezi evropskými kulturními</w:t>
      </w:r>
      <w:r w:rsidR="00946070">
        <w:t xml:space="preserve"> a </w:t>
      </w:r>
      <w:r w:rsidRPr="00BF6B3C">
        <w:t>kreativními odvětvími</w:t>
      </w:r>
      <w:r w:rsidR="00946070">
        <w:t xml:space="preserve"> a </w:t>
      </w:r>
      <w:r w:rsidRPr="00BF6B3C">
        <w:t>kulturními</w:t>
      </w:r>
      <w:r w:rsidR="00946070">
        <w:t xml:space="preserve"> a </w:t>
      </w:r>
      <w:r w:rsidRPr="00BF6B3C">
        <w:t>kreativními odvětvími</w:t>
      </w:r>
      <w:r w:rsidR="00946070">
        <w:t xml:space="preserve"> z </w:t>
      </w:r>
      <w:r w:rsidRPr="00BF6B3C">
        <w:t>rozvíjejících se zemí, jež by vycházely</w:t>
      </w:r>
      <w:r w:rsidR="00946070">
        <w:t xml:space="preserve"> z </w:t>
      </w:r>
      <w:r w:rsidRPr="00BF6B3C">
        <w:t>evropských nástrojů pro partnerství</w:t>
      </w:r>
      <w:r w:rsidR="00946070">
        <w:t xml:space="preserve"> a </w:t>
      </w:r>
      <w:r w:rsidRPr="00BF6B3C">
        <w:t>rozvoj.</w:t>
      </w:r>
    </w:p>
    <w:p w:rsidR="008E4975" w:rsidRPr="00BF6B3C" w:rsidRDefault="008E4975" w:rsidP="00946070">
      <w:pPr>
        <w:spacing w:before="360"/>
        <w:outlineLvl w:val="0"/>
        <w:rPr>
          <w:bCs/>
          <w:caps/>
          <w:u w:val="single"/>
        </w:rPr>
      </w:pPr>
      <w:r w:rsidRPr="00BF6B3C">
        <w:rPr>
          <w:bCs/>
          <w:caps/>
          <w:u w:val="single"/>
        </w:rPr>
        <w:br w:type="page"/>
      </w:r>
      <w:r w:rsidRPr="00BF6B3C">
        <w:rPr>
          <w:bCs/>
          <w:caps/>
          <w:u w:val="single"/>
        </w:rPr>
        <w:lastRenderedPageBreak/>
        <w:t>Prosazování ODOVĚDNÝCH POLITIK V PODNICÍCH EKOSYSTÉMU KULTURNÍHO A</w:t>
      </w:r>
      <w:r w:rsidR="00946070">
        <w:rPr>
          <w:bCs/>
          <w:caps/>
          <w:u w:val="single"/>
        </w:rPr>
        <w:t> </w:t>
      </w:r>
      <w:bookmarkStart w:id="4" w:name="_GoBack"/>
      <w:bookmarkEnd w:id="4"/>
      <w:r w:rsidRPr="00BF6B3C">
        <w:rPr>
          <w:bCs/>
          <w:caps/>
          <w:u w:val="single"/>
        </w:rPr>
        <w:t>KREATIVNÍHO ODVĚTVÍ, což zahrnuje mimo jiné:</w:t>
      </w: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</w:pPr>
      <w:r w:rsidRPr="00BF6B3C">
        <w:t>podporu odpovědných politik, například prostřednictvím ocenění</w:t>
      </w:r>
      <w:r w:rsidR="00946070">
        <w:t xml:space="preserve"> a </w:t>
      </w:r>
      <w:r w:rsidRPr="00BF6B3C">
        <w:t>jiných pobídek</w:t>
      </w:r>
      <w:r w:rsidR="00946070">
        <w:t xml:space="preserve"> a v </w:t>
      </w:r>
      <w:r w:rsidRPr="00BF6B3C">
        <w:t>souladu</w:t>
      </w:r>
      <w:r w:rsidR="00946070">
        <w:t xml:space="preserve"> s </w:t>
      </w:r>
      <w:r w:rsidRPr="00BF6B3C">
        <w:t>iniciativou</w:t>
      </w:r>
      <w:r w:rsidR="00946070">
        <w:t xml:space="preserve"> s </w:t>
      </w:r>
      <w:r w:rsidRPr="00BF6B3C">
        <w:t>názvem „UN Global Compact“,</w:t>
      </w:r>
      <w:r w:rsidR="00946070">
        <w:t xml:space="preserve"> v </w:t>
      </w:r>
      <w:r w:rsidRPr="00BF6B3C">
        <w:t>oblasti udržitelnosti</w:t>
      </w:r>
      <w:r w:rsidR="00946070">
        <w:t xml:space="preserve"> a </w:t>
      </w:r>
      <w:r w:rsidRPr="00BF6B3C">
        <w:t>ochrany životního prostředí, zejména projektů prosazujících inovativní přístupy</w:t>
      </w:r>
      <w:r w:rsidR="00946070">
        <w:t xml:space="preserve"> v </w:t>
      </w:r>
      <w:r w:rsidRPr="00BF6B3C">
        <w:t>souladu</w:t>
      </w:r>
      <w:r w:rsidR="00946070">
        <w:t xml:space="preserve"> s </w:t>
      </w:r>
      <w:r w:rsidRPr="00BF6B3C">
        <w:t>kontinuitou oběhového hospodářství, jako jsou oběhové obchodní modely, zásady ekodesignu</w:t>
      </w:r>
      <w:r w:rsidR="00946070">
        <w:t xml:space="preserve"> a </w:t>
      </w:r>
      <w:r w:rsidRPr="00BF6B3C">
        <w:t>strategie nakládání</w:t>
      </w:r>
      <w:r w:rsidR="00946070">
        <w:t xml:space="preserve"> na </w:t>
      </w:r>
      <w:r w:rsidRPr="00BF6B3C">
        <w:t>konci životnosti;</w:t>
      </w: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</w:pPr>
      <w:r w:rsidRPr="00BF6B3C">
        <w:t>určování osvědčených postupů při udržitelné transformaci ekosystému kulturního</w:t>
      </w:r>
      <w:r w:rsidR="00946070">
        <w:t xml:space="preserve"> a </w:t>
      </w:r>
      <w:r w:rsidRPr="00BF6B3C">
        <w:t>kreativního odvětví</w:t>
      </w:r>
      <w:r w:rsidR="00946070">
        <w:t xml:space="preserve"> a </w:t>
      </w:r>
      <w:r w:rsidRPr="00BF6B3C">
        <w:t>jejich prosazování</w:t>
      </w:r>
      <w:r w:rsidR="00946070">
        <w:t xml:space="preserve"> na </w:t>
      </w:r>
      <w:r w:rsidRPr="00BF6B3C">
        <w:t>evropské úrovni, například</w:t>
      </w:r>
      <w:r w:rsidR="00946070">
        <w:t xml:space="preserve"> i v </w:t>
      </w:r>
      <w:r w:rsidRPr="00BF6B3C">
        <w:t>souvislosti</w:t>
      </w:r>
      <w:r w:rsidR="00946070">
        <w:t xml:space="preserve"> s </w:t>
      </w:r>
      <w:r w:rsidRPr="00BF6B3C">
        <w:t>iniciativou Nový evropský Bauhaus;</w:t>
      </w:r>
    </w:p>
    <w:p w:rsidR="008E4975" w:rsidRPr="00BF6B3C" w:rsidRDefault="008E4975" w:rsidP="008E4975">
      <w:pPr>
        <w:pStyle w:val="ListParagraph"/>
        <w:numPr>
          <w:ilvl w:val="0"/>
          <w:numId w:val="39"/>
        </w:numPr>
        <w:ind w:left="567" w:hanging="567"/>
      </w:pPr>
      <w:r w:rsidRPr="00BF6B3C">
        <w:t>vybízení</w:t>
      </w:r>
      <w:r w:rsidR="00946070">
        <w:t xml:space="preserve"> k </w:t>
      </w:r>
      <w:r w:rsidRPr="00BF6B3C">
        <w:t>provádění odpovědných politik</w:t>
      </w:r>
      <w:r w:rsidR="00946070">
        <w:t xml:space="preserve"> v </w:t>
      </w:r>
      <w:r w:rsidRPr="00BF6B3C">
        <w:t>rámci ekosystému kulturního</w:t>
      </w:r>
      <w:r w:rsidR="00946070">
        <w:t xml:space="preserve"> a </w:t>
      </w:r>
      <w:r w:rsidRPr="00BF6B3C">
        <w:t>kreativního odvětví, pokud jde</w:t>
      </w:r>
      <w:r w:rsidR="00946070">
        <w:t xml:space="preserve"> o </w:t>
      </w:r>
      <w:r w:rsidRPr="00BF6B3C">
        <w:t>nediskriminaci, autorské právo</w:t>
      </w:r>
      <w:r w:rsidR="00946070">
        <w:t xml:space="preserve"> a </w:t>
      </w:r>
      <w:r w:rsidRPr="00BF6B3C">
        <w:t>práva</w:t>
      </w:r>
      <w:r w:rsidR="00946070">
        <w:t xml:space="preserve"> s </w:t>
      </w:r>
      <w:r w:rsidRPr="00BF6B3C">
        <w:t>ním související, včetně spravedlivé odměny pro držitele práv, lepších pracovních podmínek</w:t>
      </w:r>
      <w:r w:rsidR="00946070">
        <w:t xml:space="preserve"> a </w:t>
      </w:r>
      <w:r w:rsidRPr="00BF6B3C">
        <w:t>sociálních záruk,</w:t>
      </w:r>
      <w:r w:rsidR="00946070">
        <w:t xml:space="preserve"> a </w:t>
      </w:r>
      <w:r w:rsidRPr="00BF6B3C">
        <w:t>jejich zahrnutí</w:t>
      </w:r>
      <w:r w:rsidR="00946070">
        <w:t xml:space="preserve"> do </w:t>
      </w:r>
      <w:r w:rsidRPr="00BF6B3C">
        <w:t>veřejného financování.</w:t>
      </w:r>
    </w:p>
    <w:p w:rsidR="008E4975" w:rsidRPr="00BF6B3C" w:rsidRDefault="008E4975" w:rsidP="008E4975">
      <w:pPr>
        <w:pBdr>
          <w:bottom w:val="single" w:sz="4" w:space="0" w:color="000000"/>
        </w:pBdr>
        <w:spacing w:before="360"/>
        <w:ind w:left="3400" w:right="3400"/>
        <w:jc w:val="center"/>
      </w:pPr>
    </w:p>
    <w:p w:rsidR="008E4975" w:rsidRPr="00BF6B3C" w:rsidRDefault="008E4975" w:rsidP="008E4975">
      <w:pPr>
        <w:spacing w:before="0" w:after="0"/>
        <w:rPr>
          <w:b/>
          <w:bCs/>
          <w:u w:val="single"/>
        </w:rPr>
        <w:sectPr w:rsidR="008E4975" w:rsidRPr="00BF6B3C" w:rsidSect="008E4975">
          <w:headerReference w:type="default" r:id="rId13"/>
          <w:footerReference w:type="default" r:id="rId14"/>
          <w:pgSz w:w="11907" w:h="16839"/>
          <w:pgMar w:top="1134" w:right="1134" w:bottom="1134" w:left="1134" w:header="567" w:footer="567" w:gutter="0"/>
          <w:cols w:space="720"/>
          <w:docGrid w:linePitch="326"/>
        </w:sectPr>
      </w:pPr>
    </w:p>
    <w:p w:rsidR="008E4975" w:rsidRPr="00BF6B3C" w:rsidRDefault="008E4975" w:rsidP="008E4975">
      <w:pPr>
        <w:pStyle w:val="Annex"/>
      </w:pPr>
      <w:r w:rsidRPr="00BF6B3C">
        <w:lastRenderedPageBreak/>
        <w:t>PŘÍLOHA</w:t>
      </w:r>
      <w:r w:rsidR="00946070">
        <w:t xml:space="preserve"> K </w:t>
      </w:r>
      <w:r w:rsidRPr="00BF6B3C">
        <w:t>PŘÍLOZE</w:t>
      </w:r>
    </w:p>
    <w:p w:rsidR="008E4975" w:rsidRPr="00BF6B3C" w:rsidRDefault="008E4975" w:rsidP="008E4975">
      <w:pPr>
        <w:rPr>
          <w:b/>
          <w:bCs/>
          <w:szCs w:val="24"/>
        </w:rPr>
      </w:pPr>
      <w:r w:rsidRPr="00BF6B3C">
        <w:rPr>
          <w:b/>
          <w:bCs/>
          <w:szCs w:val="24"/>
        </w:rPr>
        <w:t>Závěry</w:t>
      </w:r>
    </w:p>
    <w:p w:rsidR="008E4975" w:rsidRPr="00BF6B3C" w:rsidRDefault="008E4975" w:rsidP="008E4975">
      <w:pPr>
        <w:numPr>
          <w:ilvl w:val="0"/>
          <w:numId w:val="11"/>
        </w:numPr>
        <w:rPr>
          <w:szCs w:val="24"/>
        </w:rPr>
      </w:pPr>
      <w:r w:rsidRPr="00BF6B3C">
        <w:t>Závěry Rady</w:t>
      </w:r>
      <w:r w:rsidR="00946070">
        <w:t xml:space="preserve"> o </w:t>
      </w:r>
      <w:r w:rsidRPr="00BF6B3C">
        <w:t>kulturních</w:t>
      </w:r>
      <w:r w:rsidR="00946070">
        <w:t xml:space="preserve"> a </w:t>
      </w:r>
      <w:r w:rsidRPr="00BF6B3C">
        <w:t>kreativních přesazích</w:t>
      </w:r>
      <w:r w:rsidR="00946070">
        <w:t xml:space="preserve"> v </w:t>
      </w:r>
      <w:r w:rsidRPr="00BF6B3C">
        <w:t>zájmu stimulace inovací, hospodářské udržitelnosti</w:t>
      </w:r>
      <w:r w:rsidR="00946070">
        <w:t xml:space="preserve"> a </w:t>
      </w:r>
      <w:r w:rsidRPr="00BF6B3C">
        <w:t>sociálního začlenění (Úř. věst. C 172, 27.5.2015, s. 13)</w:t>
      </w:r>
    </w:p>
    <w:p w:rsidR="008E4975" w:rsidRPr="00BF6B3C" w:rsidRDefault="008E4975" w:rsidP="008E4975">
      <w:pPr>
        <w:numPr>
          <w:ilvl w:val="0"/>
          <w:numId w:val="11"/>
        </w:numPr>
      </w:pPr>
      <w:r w:rsidRPr="00BF6B3C">
        <w:t>Závěry Evropské rady ze dne 21. července 2020</w:t>
      </w:r>
      <w:r w:rsidR="00946070">
        <w:t xml:space="preserve"> o </w:t>
      </w:r>
      <w:r w:rsidRPr="00BF6B3C">
        <w:t>plánu</w:t>
      </w:r>
      <w:r w:rsidR="00946070">
        <w:t xml:space="preserve"> na </w:t>
      </w:r>
      <w:r w:rsidRPr="00BF6B3C">
        <w:t>podporu oživení</w:t>
      </w:r>
      <w:r w:rsidR="00946070">
        <w:t xml:space="preserve"> a </w:t>
      </w:r>
      <w:r w:rsidRPr="00BF6B3C">
        <w:t>víceletém finančním rámci</w:t>
      </w:r>
      <w:r w:rsidR="00946070">
        <w:t xml:space="preserve"> na </w:t>
      </w:r>
      <w:r w:rsidRPr="00BF6B3C">
        <w:t>období 2021–2027</w:t>
      </w:r>
    </w:p>
    <w:p w:rsidR="008E4975" w:rsidRPr="00BF6B3C" w:rsidRDefault="008E4975" w:rsidP="008E4975">
      <w:pPr>
        <w:numPr>
          <w:ilvl w:val="0"/>
          <w:numId w:val="11"/>
        </w:numPr>
      </w:pPr>
      <w:r w:rsidRPr="00BF6B3C">
        <w:t>Závěry Rady</w:t>
      </w:r>
      <w:r w:rsidR="00946070">
        <w:t xml:space="preserve"> o </w:t>
      </w:r>
      <w:r w:rsidRPr="00BF6B3C">
        <w:t>oživení, odolnosti</w:t>
      </w:r>
      <w:r w:rsidR="00946070">
        <w:t xml:space="preserve"> a </w:t>
      </w:r>
      <w:r w:rsidRPr="00BF6B3C">
        <w:t>udržitelnosti kulturních</w:t>
      </w:r>
      <w:r w:rsidR="00946070">
        <w:t xml:space="preserve"> a </w:t>
      </w:r>
      <w:r w:rsidRPr="00BF6B3C">
        <w:t>kreativních odvětví (Úř. věst. C 209, 2.6.2021, s. 3)</w:t>
      </w:r>
    </w:p>
    <w:p w:rsidR="008E4975" w:rsidRPr="00BF6B3C" w:rsidRDefault="008E4975" w:rsidP="008E4975">
      <w:pPr>
        <w:numPr>
          <w:ilvl w:val="0"/>
          <w:numId w:val="11"/>
        </w:numPr>
      </w:pPr>
      <w:r w:rsidRPr="00BF6B3C">
        <w:t>Závěry „Evropská média</w:t>
      </w:r>
      <w:r w:rsidR="00946070">
        <w:t xml:space="preserve"> v </w:t>
      </w:r>
      <w:r w:rsidRPr="00BF6B3C">
        <w:t>digitální dekádě: Akční plán</w:t>
      </w:r>
      <w:r w:rsidR="00946070">
        <w:t xml:space="preserve"> na </w:t>
      </w:r>
      <w:r w:rsidRPr="00BF6B3C">
        <w:t>podporu oživení</w:t>
      </w:r>
      <w:r w:rsidR="00946070">
        <w:t xml:space="preserve"> a </w:t>
      </w:r>
      <w:r w:rsidRPr="00BF6B3C">
        <w:t>transformace (Úř. věst. C 210, 3.6.2021, s. 1)</w:t>
      </w:r>
    </w:p>
    <w:p w:rsidR="008E4975" w:rsidRPr="00BF6B3C" w:rsidRDefault="008E4975" w:rsidP="008E4975">
      <w:pPr>
        <w:numPr>
          <w:ilvl w:val="0"/>
          <w:numId w:val="11"/>
        </w:numPr>
      </w:pPr>
      <w:r w:rsidRPr="00BF6B3C">
        <w:t>Závěry Rady ze dne 30. listopadu 2021</w:t>
      </w:r>
      <w:r w:rsidR="00946070">
        <w:t xml:space="preserve"> o </w:t>
      </w:r>
      <w:r w:rsidRPr="00BF6B3C">
        <w:t>kultuře, vysoce kvalitní architektuře</w:t>
      </w:r>
      <w:r w:rsidR="00946070">
        <w:t xml:space="preserve"> a </w:t>
      </w:r>
      <w:r w:rsidRPr="00BF6B3C">
        <w:t>zastavěném prostředí jakožto klíčových prvcích iniciativy Nový evropský Bauhaus</w:t>
      </w:r>
    </w:p>
    <w:p w:rsidR="008E4975" w:rsidRPr="00BF6B3C" w:rsidRDefault="008E4975" w:rsidP="008E4975">
      <w:pPr>
        <w:numPr>
          <w:ilvl w:val="0"/>
          <w:numId w:val="11"/>
        </w:numPr>
      </w:pPr>
      <w:r w:rsidRPr="00BF6B3C">
        <w:t>Závěry Rady ze dne 30. listopadu 2021</w:t>
      </w:r>
      <w:r w:rsidR="00946070">
        <w:t xml:space="preserve"> o </w:t>
      </w:r>
      <w:r w:rsidRPr="00BF6B3C">
        <w:t>zvýšení dostupnosti</w:t>
      </w:r>
      <w:r w:rsidR="00946070">
        <w:t xml:space="preserve"> a </w:t>
      </w:r>
      <w:r w:rsidRPr="00BF6B3C">
        <w:t>konkurenceschopnosti evropského audiovizuálního</w:t>
      </w:r>
      <w:r w:rsidR="00946070">
        <w:t xml:space="preserve"> a </w:t>
      </w:r>
      <w:r w:rsidRPr="00BF6B3C">
        <w:t>mediálního obsahu</w:t>
      </w:r>
    </w:p>
    <w:p w:rsidR="008E4975" w:rsidRPr="00BF6B3C" w:rsidRDefault="008E4975" w:rsidP="008E4975">
      <w:pPr>
        <w:ind w:left="567"/>
      </w:pPr>
      <w:r w:rsidRPr="00BF6B3C">
        <w:rPr>
          <w:b/>
          <w:bCs/>
          <w:szCs w:val="24"/>
        </w:rPr>
        <w:t>Legislativní akty</w:t>
      </w:r>
    </w:p>
    <w:p w:rsidR="008E4975" w:rsidRPr="00BF6B3C" w:rsidRDefault="008E4975" w:rsidP="008E4975">
      <w:pPr>
        <w:numPr>
          <w:ilvl w:val="0"/>
          <w:numId w:val="11"/>
        </w:numPr>
      </w:pPr>
      <w:r w:rsidRPr="00BF6B3C">
        <w:t>Nařízení Evropského parlamentu</w:t>
      </w:r>
      <w:r w:rsidR="00946070">
        <w:t xml:space="preserve"> a </w:t>
      </w:r>
      <w:r w:rsidRPr="00BF6B3C">
        <w:t>Rady (EU) 2021/818 ze dne 20. května 2021, kterým se zavádí program Kreativní Evropa (2021–2027)</w:t>
      </w:r>
      <w:r w:rsidR="00946070">
        <w:t xml:space="preserve"> a </w:t>
      </w:r>
      <w:r w:rsidRPr="00BF6B3C">
        <w:t>zrušuje nařízení (EU)</w:t>
      </w:r>
      <w:r w:rsidR="00946070">
        <w:t xml:space="preserve"> č. </w:t>
      </w:r>
      <w:r w:rsidRPr="00BF6B3C">
        <w:t>1295/2013</w:t>
      </w:r>
    </w:p>
    <w:p w:rsidR="008E4975" w:rsidRPr="00BF6B3C" w:rsidRDefault="008E4975" w:rsidP="008E4975">
      <w:pPr>
        <w:rPr>
          <w:b/>
          <w:bCs/>
          <w:szCs w:val="24"/>
        </w:rPr>
      </w:pPr>
      <w:r w:rsidRPr="00BF6B3C">
        <w:br w:type="page"/>
      </w:r>
      <w:r w:rsidRPr="00BF6B3C">
        <w:rPr>
          <w:b/>
          <w:bCs/>
          <w:szCs w:val="24"/>
        </w:rPr>
        <w:lastRenderedPageBreak/>
        <w:t>Další relevantní dokumenty týkající se příslušné politiky</w:t>
      </w:r>
    </w:p>
    <w:p w:rsidR="008E4975" w:rsidRPr="00BF6B3C" w:rsidRDefault="008E4975" w:rsidP="008E4975">
      <w:pPr>
        <w:rPr>
          <w:i/>
          <w:iCs/>
          <w:szCs w:val="24"/>
          <w:u w:val="single"/>
        </w:rPr>
      </w:pPr>
      <w:r w:rsidRPr="00BF6B3C">
        <w:rPr>
          <w:b/>
          <w:bCs/>
          <w:i/>
          <w:iCs/>
          <w:szCs w:val="24"/>
        </w:rPr>
        <w:t>Sdělení Komise</w:t>
      </w:r>
    </w:p>
    <w:p w:rsidR="008E4975" w:rsidRPr="00BF6B3C" w:rsidRDefault="008E4975" w:rsidP="008E4975">
      <w:pPr>
        <w:pStyle w:val="Bullet"/>
        <w:rPr>
          <w:szCs w:val="24"/>
        </w:rPr>
      </w:pPr>
      <w:r w:rsidRPr="00BF6B3C">
        <w:t>Zelená kniha Evropské komise – Uvolnění potenciálu kulturních</w:t>
      </w:r>
      <w:r w:rsidR="00946070">
        <w:t xml:space="preserve"> a </w:t>
      </w:r>
      <w:r w:rsidRPr="00BF6B3C">
        <w:t>tvůrčích odvětví (KOM(2010) 183</w:t>
      </w:r>
      <w:r w:rsidR="00946070">
        <w:t xml:space="preserve"> v </w:t>
      </w:r>
      <w:r w:rsidRPr="00BF6B3C">
        <w:t>konečném znění)</w:t>
      </w:r>
    </w:p>
    <w:p w:rsidR="008E4975" w:rsidRPr="00BF6B3C" w:rsidRDefault="008E4975" w:rsidP="008E4975">
      <w:pPr>
        <w:pStyle w:val="Bullet"/>
        <w:rPr>
          <w:szCs w:val="24"/>
        </w:rPr>
      </w:pPr>
      <w:r w:rsidRPr="00BF6B3C">
        <w:t>Sdělení Komise Evropskému parlamentu, Evropské radě, Radě, Evropskému hospodářskému</w:t>
      </w:r>
      <w:r w:rsidR="00946070">
        <w:t xml:space="preserve"> a </w:t>
      </w:r>
      <w:r w:rsidRPr="00BF6B3C">
        <w:t>sociálnímu výboru</w:t>
      </w:r>
      <w:r w:rsidR="00946070">
        <w:t xml:space="preserve"> a </w:t>
      </w:r>
      <w:r w:rsidRPr="00BF6B3C">
        <w:t>Výboru regionů – Zelená dohoda pro Evropu (COM/2019/640 final)</w:t>
      </w:r>
    </w:p>
    <w:p w:rsidR="008E4975" w:rsidRPr="00BF6B3C" w:rsidRDefault="008E4975" w:rsidP="008E4975">
      <w:pPr>
        <w:pStyle w:val="Bullet"/>
        <w:rPr>
          <w:szCs w:val="24"/>
        </w:rPr>
      </w:pPr>
      <w:r w:rsidRPr="00BF6B3C">
        <w:t>Sdělení Komise Evropskému parlamentu, Radě, Evropskému hospodářskému</w:t>
      </w:r>
      <w:r w:rsidR="00946070">
        <w:t xml:space="preserve"> a </w:t>
      </w:r>
      <w:r w:rsidRPr="00BF6B3C">
        <w:t>sociálnímu výboru</w:t>
      </w:r>
      <w:r w:rsidR="00946070">
        <w:t xml:space="preserve"> a </w:t>
      </w:r>
      <w:r w:rsidRPr="00BF6B3C">
        <w:t>Výboru regionů – Evropská média</w:t>
      </w:r>
      <w:r w:rsidR="00946070">
        <w:t xml:space="preserve"> v </w:t>
      </w:r>
      <w:r w:rsidRPr="00BF6B3C">
        <w:t>digitální dekádě: Akční plán</w:t>
      </w:r>
      <w:r w:rsidR="00946070">
        <w:t xml:space="preserve"> na </w:t>
      </w:r>
      <w:r w:rsidRPr="00BF6B3C">
        <w:t>podporu oživení</w:t>
      </w:r>
      <w:r w:rsidR="00946070">
        <w:t xml:space="preserve"> a </w:t>
      </w:r>
      <w:r w:rsidRPr="00BF6B3C">
        <w:t>transformace (COM(2020) 784 final)</w:t>
      </w:r>
    </w:p>
    <w:p w:rsidR="008E4975" w:rsidRPr="00BF6B3C" w:rsidRDefault="008E4975" w:rsidP="008E4975">
      <w:pPr>
        <w:pStyle w:val="Bullet"/>
        <w:rPr>
          <w:szCs w:val="24"/>
        </w:rPr>
      </w:pPr>
      <w:r w:rsidRPr="00BF6B3C">
        <w:t>Sdělení Komise Evropskému parlamentu, Evropské radě, Radě, Evropskému hospodářskému</w:t>
      </w:r>
      <w:r w:rsidR="00946070">
        <w:t xml:space="preserve"> a </w:t>
      </w:r>
      <w:r w:rsidRPr="00BF6B3C">
        <w:t>sociálnímu výboru</w:t>
      </w:r>
      <w:r w:rsidR="00946070">
        <w:t xml:space="preserve"> a </w:t>
      </w:r>
      <w:r w:rsidRPr="00BF6B3C">
        <w:t>Výboru regionů – Nová průmyslová strategie pro Evropu (COM(2020) 102 final)</w:t>
      </w:r>
    </w:p>
    <w:p w:rsidR="008E4975" w:rsidRPr="00BF6B3C" w:rsidRDefault="008E4975" w:rsidP="008E4975">
      <w:pPr>
        <w:pStyle w:val="Bullet"/>
        <w:rPr>
          <w:szCs w:val="24"/>
        </w:rPr>
      </w:pPr>
      <w:r w:rsidRPr="00BF6B3C">
        <w:t>Sdělení Komise Evropskému parlamentu, Radě, Evropskému hospodářskému</w:t>
      </w:r>
      <w:r w:rsidR="00946070">
        <w:t xml:space="preserve"> a </w:t>
      </w:r>
      <w:r w:rsidRPr="00BF6B3C">
        <w:t>sociálnímu výboru</w:t>
      </w:r>
      <w:r w:rsidR="00946070">
        <w:t xml:space="preserve"> a </w:t>
      </w:r>
      <w:r w:rsidRPr="00BF6B3C">
        <w:t>Výboru regionů</w:t>
      </w:r>
      <w:r w:rsidR="00946070">
        <w:t xml:space="preserve"> o </w:t>
      </w:r>
      <w:r w:rsidRPr="00BF6B3C">
        <w:t>evropském akčním plánu pro demokracii – „Fit for 55“: plnění klimatického cíle EU pro rok 2030</w:t>
      </w:r>
      <w:r w:rsidR="00946070">
        <w:t xml:space="preserve"> na </w:t>
      </w:r>
      <w:r w:rsidRPr="00BF6B3C">
        <w:t>cestě ke klimatické neutralitě (COM(2021) 550 final)</w:t>
      </w:r>
    </w:p>
    <w:p w:rsidR="008E4975" w:rsidRPr="00BF6B3C" w:rsidRDefault="008E4975" w:rsidP="008E4975">
      <w:pPr>
        <w:pStyle w:val="Bullet"/>
        <w:rPr>
          <w:szCs w:val="24"/>
        </w:rPr>
      </w:pPr>
      <w:r w:rsidRPr="00BF6B3C">
        <w:t>Sdělení Komise Evropskému parlamentu, Radě, Evropskému hospodářskému</w:t>
      </w:r>
      <w:r w:rsidR="00946070">
        <w:t xml:space="preserve"> a </w:t>
      </w:r>
      <w:r w:rsidRPr="00BF6B3C">
        <w:t>sociálnímu výboru</w:t>
      </w:r>
      <w:r w:rsidR="00946070">
        <w:t xml:space="preserve"> a </w:t>
      </w:r>
      <w:r w:rsidRPr="00BF6B3C">
        <w:t>Výboru regionů – Aktualizace nové průmyslové strategie 2020: budování silnějšího jednotného trhu pro oživení Evropy (COM(2021) 350 final)</w:t>
      </w:r>
    </w:p>
    <w:p w:rsidR="008E4975" w:rsidRPr="00BF6B3C" w:rsidRDefault="008E4975" w:rsidP="008E4975">
      <w:pPr>
        <w:pStyle w:val="Bullet"/>
        <w:rPr>
          <w:szCs w:val="24"/>
        </w:rPr>
      </w:pPr>
      <w:r w:rsidRPr="00BF6B3C">
        <w:t>Sdělení Komise – Pokyny EU pro bezpečné obnovení činností</w:t>
      </w:r>
      <w:r w:rsidR="00946070">
        <w:t xml:space="preserve"> v </w:t>
      </w:r>
      <w:r w:rsidRPr="00BF6B3C">
        <w:t>kulturních</w:t>
      </w:r>
      <w:r w:rsidR="00946070">
        <w:t xml:space="preserve"> a </w:t>
      </w:r>
      <w:r w:rsidRPr="00BF6B3C">
        <w:t>kreativních odvětvích – COVID-19 (COM/2021/4838)</w:t>
      </w:r>
    </w:p>
    <w:p w:rsidR="008E4975" w:rsidRPr="00BF6B3C" w:rsidRDefault="008E4975" w:rsidP="008E4975">
      <w:pPr>
        <w:ind w:left="567" w:hanging="567"/>
        <w:rPr>
          <w:b/>
          <w:bCs/>
          <w:i/>
          <w:iCs/>
        </w:rPr>
      </w:pPr>
      <w:r w:rsidRPr="00BF6B3C">
        <w:rPr>
          <w:b/>
          <w:bCs/>
          <w:i/>
          <w:iCs/>
        </w:rPr>
        <w:br w:type="page"/>
      </w:r>
      <w:r w:rsidRPr="00BF6B3C">
        <w:rPr>
          <w:b/>
          <w:bCs/>
          <w:i/>
          <w:iCs/>
        </w:rPr>
        <w:lastRenderedPageBreak/>
        <w:t>Usnesení Evropského parlamentu</w:t>
      </w:r>
    </w:p>
    <w:p w:rsidR="008E4975" w:rsidRPr="00BF6B3C" w:rsidRDefault="008E4975" w:rsidP="008E4975">
      <w:pPr>
        <w:numPr>
          <w:ilvl w:val="0"/>
          <w:numId w:val="11"/>
        </w:numPr>
      </w:pPr>
      <w:r w:rsidRPr="00BF6B3C">
        <w:t>Usnesení Evropského parlamentu ze dne 20. října 2021</w:t>
      </w:r>
      <w:r w:rsidR="00946070">
        <w:t xml:space="preserve"> o </w:t>
      </w:r>
      <w:r w:rsidRPr="00BF6B3C">
        <w:t>evropských médiích</w:t>
      </w:r>
      <w:r w:rsidR="00946070">
        <w:t xml:space="preserve"> v </w:t>
      </w:r>
      <w:r w:rsidRPr="00BF6B3C">
        <w:t>digitální dekádě – akční plán</w:t>
      </w:r>
      <w:r w:rsidR="00946070">
        <w:t xml:space="preserve"> na </w:t>
      </w:r>
      <w:r w:rsidRPr="00BF6B3C">
        <w:t>podporu oživení</w:t>
      </w:r>
      <w:r w:rsidR="00946070">
        <w:t xml:space="preserve"> a </w:t>
      </w:r>
      <w:r w:rsidRPr="00BF6B3C">
        <w:t>transformace (2021/2017(INI))</w:t>
      </w:r>
    </w:p>
    <w:p w:rsidR="008E4975" w:rsidRPr="00BF6B3C" w:rsidRDefault="008E4975" w:rsidP="008E4975">
      <w:pPr>
        <w:rPr>
          <w:b/>
          <w:bCs/>
          <w:i/>
          <w:iCs/>
        </w:rPr>
      </w:pPr>
      <w:r w:rsidRPr="00BF6B3C">
        <w:rPr>
          <w:b/>
          <w:bCs/>
          <w:i/>
          <w:iCs/>
        </w:rPr>
        <w:t>Úmluvy</w:t>
      </w:r>
      <w:r w:rsidR="00946070">
        <w:rPr>
          <w:b/>
          <w:bCs/>
          <w:i/>
          <w:iCs/>
        </w:rPr>
        <w:t xml:space="preserve"> a </w:t>
      </w:r>
      <w:r w:rsidRPr="00BF6B3C">
        <w:rPr>
          <w:b/>
          <w:bCs/>
          <w:i/>
          <w:iCs/>
        </w:rPr>
        <w:t>dokumenty UNESCO</w:t>
      </w:r>
    </w:p>
    <w:p w:rsidR="008E4975" w:rsidRPr="00BF6B3C" w:rsidRDefault="008E4975" w:rsidP="008E4975">
      <w:pPr>
        <w:numPr>
          <w:ilvl w:val="0"/>
          <w:numId w:val="24"/>
        </w:numPr>
        <w:ind w:left="567" w:hanging="567"/>
        <w:contextualSpacing/>
      </w:pPr>
      <w:r w:rsidRPr="00BF6B3C">
        <w:t>Úmluva</w:t>
      </w:r>
      <w:r w:rsidR="00946070">
        <w:t xml:space="preserve"> o </w:t>
      </w:r>
      <w:r w:rsidRPr="00BF6B3C">
        <w:t>ochraně</w:t>
      </w:r>
      <w:r w:rsidR="00946070">
        <w:t xml:space="preserve"> a </w:t>
      </w:r>
      <w:r w:rsidRPr="00BF6B3C">
        <w:t>podpoře rozmanitosti kulturních projevů (2005)</w:t>
      </w:r>
    </w:p>
    <w:p w:rsidR="008E4975" w:rsidRPr="00BF6B3C" w:rsidRDefault="008E4975" w:rsidP="008E4975">
      <w:pPr>
        <w:numPr>
          <w:ilvl w:val="0"/>
          <w:numId w:val="24"/>
        </w:numPr>
        <w:ind w:left="567" w:hanging="567"/>
        <w:contextualSpacing/>
      </w:pPr>
      <w:r w:rsidRPr="00BF6B3C">
        <w:rPr>
          <w:i/>
          <w:iCs/>
        </w:rPr>
        <w:t>Cultural and Creative Industries in the Face of COVID-19:</w:t>
      </w:r>
      <w:r w:rsidRPr="00BF6B3C">
        <w:t xml:space="preserve"> </w:t>
      </w:r>
      <w:r w:rsidRPr="00BF6B3C">
        <w:rPr>
          <w:i/>
          <w:iCs/>
        </w:rPr>
        <w:t>An Economic Impact Outlook</w:t>
      </w:r>
      <w:r w:rsidRPr="00BF6B3C">
        <w:t xml:space="preserve"> (Kulturní</w:t>
      </w:r>
      <w:r w:rsidR="00946070">
        <w:t xml:space="preserve"> a </w:t>
      </w:r>
      <w:r w:rsidRPr="00BF6B3C">
        <w:t>tvůrčí odvětví</w:t>
      </w:r>
      <w:r w:rsidR="00946070">
        <w:t xml:space="preserve"> a </w:t>
      </w:r>
      <w:r w:rsidRPr="00BF6B3C">
        <w:t>COVID-19: přehled hospodářských dopadů), studie</w:t>
      </w:r>
      <w:r w:rsidR="00946070">
        <w:t xml:space="preserve"> z </w:t>
      </w:r>
      <w:r w:rsidRPr="00BF6B3C">
        <w:t>roku 2021</w:t>
      </w:r>
    </w:p>
    <w:p w:rsidR="008E4975" w:rsidRPr="00BF6B3C" w:rsidRDefault="008E4975" w:rsidP="008E4975">
      <w:pPr>
        <w:numPr>
          <w:ilvl w:val="0"/>
          <w:numId w:val="24"/>
        </w:numPr>
        <w:ind w:left="567" w:hanging="567"/>
        <w:contextualSpacing/>
      </w:pPr>
      <w:r w:rsidRPr="00BF6B3C">
        <w:t>Rámec UNESCO pro statistiky</w:t>
      </w:r>
      <w:r w:rsidR="00946070">
        <w:t xml:space="preserve"> v </w:t>
      </w:r>
      <w:r w:rsidRPr="00BF6B3C">
        <w:t>oblasti kultury (2009)</w:t>
      </w:r>
    </w:p>
    <w:p w:rsidR="008E4975" w:rsidRPr="00BF6B3C" w:rsidRDefault="008E4975" w:rsidP="008E4975">
      <w:pPr>
        <w:spacing w:before="360"/>
        <w:ind w:left="567" w:hanging="567"/>
        <w:rPr>
          <w:b/>
          <w:i/>
          <w:iCs/>
        </w:rPr>
      </w:pPr>
      <w:r w:rsidRPr="00BF6B3C">
        <w:rPr>
          <w:b/>
          <w:i/>
          <w:iCs/>
        </w:rPr>
        <w:t>Dokumenty pracovních skupin odborníků pro otevřenou metodu koordinace (OMK)</w:t>
      </w:r>
    </w:p>
    <w:p w:rsidR="008E4975" w:rsidRPr="00BF6B3C" w:rsidRDefault="008E4975" w:rsidP="008E4975">
      <w:pPr>
        <w:numPr>
          <w:ilvl w:val="0"/>
          <w:numId w:val="25"/>
        </w:numPr>
        <w:ind w:left="0" w:firstLine="0"/>
        <w:contextualSpacing/>
        <w:rPr>
          <w:rFonts w:eastAsia="Calibri"/>
          <w:iCs/>
          <w:szCs w:val="24"/>
        </w:rPr>
      </w:pPr>
      <w:r w:rsidRPr="00BF6B3C">
        <w:t>Zpráva pracovní skupiny pro OMK</w:t>
      </w:r>
      <w:r w:rsidR="00946070">
        <w:t xml:space="preserve"> o </w:t>
      </w:r>
      <w:r w:rsidRPr="00BF6B3C">
        <w:t>koprodukcích EU</w:t>
      </w:r>
    </w:p>
    <w:p w:rsidR="008E4975" w:rsidRPr="00BF6B3C" w:rsidRDefault="008E4975" w:rsidP="008E4975">
      <w:pPr>
        <w:numPr>
          <w:ilvl w:val="0"/>
          <w:numId w:val="25"/>
        </w:numPr>
        <w:ind w:left="567" w:hanging="567"/>
        <w:contextualSpacing/>
        <w:rPr>
          <w:rFonts w:eastAsia="Calibri"/>
          <w:iCs/>
          <w:szCs w:val="24"/>
        </w:rPr>
      </w:pPr>
      <w:r w:rsidRPr="00BF6B3C">
        <w:t>Mandát skupiny pro OMK složené</w:t>
      </w:r>
      <w:r w:rsidR="00946070">
        <w:t xml:space="preserve"> z </w:t>
      </w:r>
      <w:r w:rsidRPr="00BF6B3C">
        <w:t>odborníků členských států týkající se postavení</w:t>
      </w:r>
      <w:r w:rsidR="00946070">
        <w:t xml:space="preserve"> a </w:t>
      </w:r>
      <w:r w:rsidRPr="00BF6B3C">
        <w:t>pracovních podmínek umělců</w:t>
      </w:r>
      <w:r w:rsidR="00946070">
        <w:t xml:space="preserve"> a </w:t>
      </w:r>
      <w:r w:rsidRPr="00BF6B3C">
        <w:t>pracovníků kulturních</w:t>
      </w:r>
      <w:r w:rsidR="00946070">
        <w:t xml:space="preserve"> a </w:t>
      </w:r>
      <w:r w:rsidRPr="00BF6B3C">
        <w:t>kreativních odvětví</w:t>
      </w:r>
    </w:p>
    <w:p w:rsidR="008E4975" w:rsidRPr="00EC77B9" w:rsidRDefault="008E4975" w:rsidP="008E4975">
      <w:pPr>
        <w:pStyle w:val="FinalLine"/>
      </w:pPr>
    </w:p>
    <w:p w:rsidR="0073335D" w:rsidRPr="00663075" w:rsidRDefault="0073335D" w:rsidP="008E4975">
      <w:pPr>
        <w:pStyle w:val="Annex"/>
      </w:pPr>
    </w:p>
    <w:sectPr w:rsidR="0073335D" w:rsidRPr="00663075" w:rsidSect="008E4975">
      <w:headerReference w:type="default" r:id="rId15"/>
      <w:footerReference w:type="default" r:id="rId16"/>
      <w:pgSz w:w="11907" w:h="1683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71" w:rsidRDefault="00643D71" w:rsidP="001B675E">
      <w:pPr>
        <w:spacing w:before="0" w:after="0" w:line="240" w:lineRule="auto"/>
      </w:pPr>
      <w:r>
        <w:separator/>
      </w:r>
    </w:p>
  </w:endnote>
  <w:endnote w:type="continuationSeparator" w:id="0">
    <w:p w:rsidR="00643D71" w:rsidRDefault="00643D71" w:rsidP="001B675E">
      <w:pPr>
        <w:spacing w:before="0" w:after="0" w:line="240" w:lineRule="auto"/>
      </w:pPr>
      <w:r>
        <w:continuationSeparator/>
      </w:r>
    </w:p>
  </w:endnote>
  <w:endnote w:type="continuationNotice" w:id="1">
    <w:p w:rsidR="00643D71" w:rsidRDefault="00643D7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8E4975" w:rsidRPr="00D94637" w:rsidTr="008E4975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8E4975" w:rsidRPr="00D94637" w:rsidRDefault="008E4975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1" w:name="FOOTER_STANDARD"/>
        </w:p>
      </w:tc>
    </w:tr>
    <w:tr w:rsidR="008E4975" w:rsidRPr="00B310DC" w:rsidTr="008E4975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8E4975" w:rsidRPr="00AD7BF2" w:rsidRDefault="008E4975" w:rsidP="004F54B2">
          <w:pPr>
            <w:pStyle w:val="FooterText"/>
          </w:pPr>
          <w:r>
            <w:t>6937/22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8E4975" w:rsidRPr="00AD7BF2" w:rsidRDefault="008E4975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8E4975" w:rsidRPr="002511D8" w:rsidRDefault="008E4975" w:rsidP="00D94637">
          <w:pPr>
            <w:pStyle w:val="FooterText"/>
            <w:jc w:val="center"/>
          </w:pPr>
          <w:r>
            <w:t>lr/EBK/rk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8E4975" w:rsidRPr="00B310DC" w:rsidRDefault="008E4975" w:rsidP="008E4975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F689A">
            <w:rPr>
              <w:noProof/>
            </w:rPr>
            <w:t>1</w:t>
          </w:r>
          <w:r>
            <w:fldChar w:fldCharType="end"/>
          </w:r>
        </w:p>
      </w:tc>
    </w:tr>
    <w:tr w:rsidR="008E4975" w:rsidRPr="00D94637" w:rsidTr="008E4975">
      <w:trPr>
        <w:jc w:val="center"/>
      </w:trPr>
      <w:tc>
        <w:tcPr>
          <w:tcW w:w="1774" w:type="pct"/>
          <w:shd w:val="clear" w:color="auto" w:fill="auto"/>
        </w:tcPr>
        <w:p w:rsidR="008E4975" w:rsidRPr="00AD7BF2" w:rsidRDefault="008E4975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8E4975" w:rsidRPr="00AD7BF2" w:rsidRDefault="008E4975" w:rsidP="00D204D6">
          <w:pPr>
            <w:pStyle w:val="FooterText"/>
            <w:spacing w:before="40"/>
            <w:jc w:val="center"/>
          </w:pPr>
          <w:r>
            <w:t>TREE.1.B</w:t>
          </w:r>
        </w:p>
      </w:tc>
      <w:tc>
        <w:tcPr>
          <w:tcW w:w="742" w:type="pct"/>
          <w:shd w:val="clear" w:color="auto" w:fill="auto"/>
        </w:tcPr>
        <w:p w:rsidR="008E4975" w:rsidRPr="00D94637" w:rsidRDefault="008E4975" w:rsidP="002F0099">
          <w:pPr>
            <w:pStyle w:val="FooterText"/>
            <w:jc w:val="center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1029" w:type="pct"/>
          <w:gridSpan w:val="2"/>
          <w:shd w:val="clear" w:color="auto" w:fill="auto"/>
        </w:tcPr>
        <w:p w:rsidR="008E4975" w:rsidRPr="000310C2" w:rsidRDefault="008E4975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CS</w:t>
          </w:r>
        </w:p>
      </w:tc>
    </w:tr>
    <w:bookmarkEnd w:id="1"/>
  </w:tbl>
  <w:p w:rsidR="00A24C96" w:rsidRPr="008E4975" w:rsidRDefault="00A24C96" w:rsidP="008E4975">
    <w:pPr>
      <w:pStyle w:val="FooterCounci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8E4975" w:rsidRPr="00D94637" w:rsidTr="008E4975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8E4975" w:rsidRPr="00D94637" w:rsidRDefault="008E4975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8E4975" w:rsidRPr="00B310DC" w:rsidTr="008E4975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8E4975" w:rsidRPr="00AD7BF2" w:rsidRDefault="008E4975" w:rsidP="004F54B2">
          <w:pPr>
            <w:pStyle w:val="FooterText"/>
          </w:pPr>
          <w:r>
            <w:t>6937/22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8E4975" w:rsidRPr="00AD7BF2" w:rsidRDefault="008E4975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8E4975" w:rsidRPr="002511D8" w:rsidRDefault="008E4975" w:rsidP="00D94637">
          <w:pPr>
            <w:pStyle w:val="FooterText"/>
            <w:jc w:val="center"/>
          </w:pPr>
          <w:r>
            <w:t>lr/EBK/rk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8E4975" w:rsidRPr="00B310DC" w:rsidRDefault="008E4975" w:rsidP="008E4975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46070">
            <w:rPr>
              <w:noProof/>
            </w:rPr>
            <w:t>1</w:t>
          </w:r>
          <w:r>
            <w:fldChar w:fldCharType="end"/>
          </w:r>
        </w:p>
      </w:tc>
    </w:tr>
    <w:tr w:rsidR="008E4975" w:rsidRPr="00D94637" w:rsidTr="008E4975">
      <w:trPr>
        <w:jc w:val="center"/>
      </w:trPr>
      <w:tc>
        <w:tcPr>
          <w:tcW w:w="1774" w:type="pct"/>
          <w:shd w:val="clear" w:color="auto" w:fill="auto"/>
        </w:tcPr>
        <w:p w:rsidR="008E4975" w:rsidRPr="00AD7BF2" w:rsidRDefault="008E4975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8E4975" w:rsidRPr="00AD7BF2" w:rsidRDefault="008E4975" w:rsidP="00D204D6">
          <w:pPr>
            <w:pStyle w:val="FooterText"/>
            <w:spacing w:before="40"/>
            <w:jc w:val="center"/>
          </w:pPr>
          <w:r>
            <w:t>TREE.1.B</w:t>
          </w:r>
        </w:p>
      </w:tc>
      <w:tc>
        <w:tcPr>
          <w:tcW w:w="742" w:type="pct"/>
          <w:shd w:val="clear" w:color="auto" w:fill="auto"/>
        </w:tcPr>
        <w:p w:rsidR="008E4975" w:rsidRPr="00D94637" w:rsidRDefault="008E4975" w:rsidP="002F0099">
          <w:pPr>
            <w:pStyle w:val="FooterText"/>
            <w:jc w:val="center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1029" w:type="pct"/>
          <w:gridSpan w:val="2"/>
          <w:shd w:val="clear" w:color="auto" w:fill="auto"/>
        </w:tcPr>
        <w:p w:rsidR="008E4975" w:rsidRPr="000310C2" w:rsidRDefault="008E4975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CS</w:t>
          </w:r>
        </w:p>
      </w:tc>
    </w:tr>
  </w:tbl>
  <w:p w:rsidR="00A24C96" w:rsidRPr="008E4975" w:rsidRDefault="00A24C96" w:rsidP="008E4975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8E4975" w:rsidRPr="00D94637" w:rsidTr="008E4975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8E4975" w:rsidRPr="00D94637" w:rsidRDefault="008E4975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8E4975" w:rsidRPr="00B310DC" w:rsidTr="008E4975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8E4975" w:rsidRPr="00AD7BF2" w:rsidRDefault="008E4975" w:rsidP="004F54B2">
          <w:pPr>
            <w:pStyle w:val="FooterText"/>
          </w:pPr>
          <w:r>
            <w:t>6937/22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8E4975" w:rsidRPr="00AD7BF2" w:rsidRDefault="008E4975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8E4975" w:rsidRPr="002511D8" w:rsidRDefault="008E4975" w:rsidP="00D94637">
          <w:pPr>
            <w:pStyle w:val="FooterText"/>
            <w:jc w:val="center"/>
          </w:pPr>
          <w:r>
            <w:t>lr/EBK/rk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8E4975" w:rsidRPr="00B310DC" w:rsidRDefault="008E4975" w:rsidP="008E4975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46070">
            <w:rPr>
              <w:noProof/>
            </w:rPr>
            <w:t>10</w:t>
          </w:r>
          <w:r>
            <w:fldChar w:fldCharType="end"/>
          </w:r>
        </w:p>
      </w:tc>
    </w:tr>
    <w:tr w:rsidR="008E4975" w:rsidRPr="00D94637" w:rsidTr="008E4975">
      <w:trPr>
        <w:jc w:val="center"/>
      </w:trPr>
      <w:tc>
        <w:tcPr>
          <w:tcW w:w="1774" w:type="pct"/>
          <w:shd w:val="clear" w:color="auto" w:fill="auto"/>
        </w:tcPr>
        <w:p w:rsidR="008E4975" w:rsidRPr="00AD7BF2" w:rsidRDefault="008E4975" w:rsidP="00D94637">
          <w:pPr>
            <w:pStyle w:val="FooterText"/>
            <w:spacing w:before="40"/>
          </w:pPr>
          <w:r>
            <w:t>PŘÍLOHA</w:t>
          </w:r>
        </w:p>
      </w:tc>
      <w:tc>
        <w:tcPr>
          <w:tcW w:w="1455" w:type="pct"/>
          <w:gridSpan w:val="3"/>
          <w:shd w:val="clear" w:color="auto" w:fill="auto"/>
        </w:tcPr>
        <w:p w:rsidR="008E4975" w:rsidRPr="00AD7BF2" w:rsidRDefault="008E4975" w:rsidP="00D204D6">
          <w:pPr>
            <w:pStyle w:val="FooterText"/>
            <w:spacing w:before="40"/>
            <w:jc w:val="center"/>
          </w:pPr>
          <w:r>
            <w:t>TREE.1.B</w:t>
          </w:r>
        </w:p>
      </w:tc>
      <w:tc>
        <w:tcPr>
          <w:tcW w:w="742" w:type="pct"/>
          <w:shd w:val="clear" w:color="auto" w:fill="auto"/>
        </w:tcPr>
        <w:p w:rsidR="008E4975" w:rsidRPr="00D94637" w:rsidRDefault="008E4975" w:rsidP="002F0099">
          <w:pPr>
            <w:pStyle w:val="FooterText"/>
            <w:jc w:val="center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1029" w:type="pct"/>
          <w:gridSpan w:val="2"/>
          <w:shd w:val="clear" w:color="auto" w:fill="auto"/>
        </w:tcPr>
        <w:p w:rsidR="008E4975" w:rsidRPr="000310C2" w:rsidRDefault="008E4975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CS</w:t>
          </w:r>
        </w:p>
      </w:tc>
    </w:tr>
  </w:tbl>
  <w:p w:rsidR="008E4975" w:rsidRPr="008E4975" w:rsidRDefault="008E4975" w:rsidP="008E4975">
    <w:pPr>
      <w:pStyle w:val="FooterCounci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8E4975" w:rsidRPr="00D94637" w:rsidTr="008E4975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8E4975" w:rsidRPr="00D94637" w:rsidRDefault="008E4975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8E4975" w:rsidRPr="00B310DC" w:rsidTr="008E4975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8E4975" w:rsidRPr="00AD7BF2" w:rsidRDefault="008E4975" w:rsidP="004F54B2">
          <w:pPr>
            <w:pStyle w:val="FooterText"/>
          </w:pPr>
          <w:r>
            <w:t>6937/22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8E4975" w:rsidRPr="00AD7BF2" w:rsidRDefault="008E4975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8E4975" w:rsidRPr="002511D8" w:rsidRDefault="008E4975" w:rsidP="00D94637">
          <w:pPr>
            <w:pStyle w:val="FooterText"/>
            <w:jc w:val="center"/>
          </w:pPr>
          <w:r>
            <w:t>lr/EBK/rk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8E4975" w:rsidRPr="00B310DC" w:rsidRDefault="008E4975" w:rsidP="008E4975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46070">
            <w:rPr>
              <w:noProof/>
            </w:rPr>
            <w:t>13</w:t>
          </w:r>
          <w:r>
            <w:fldChar w:fldCharType="end"/>
          </w:r>
        </w:p>
      </w:tc>
    </w:tr>
    <w:tr w:rsidR="008E4975" w:rsidRPr="00D94637" w:rsidTr="008E4975">
      <w:trPr>
        <w:jc w:val="center"/>
      </w:trPr>
      <w:tc>
        <w:tcPr>
          <w:tcW w:w="1774" w:type="pct"/>
          <w:shd w:val="clear" w:color="auto" w:fill="auto"/>
        </w:tcPr>
        <w:p w:rsidR="008E4975" w:rsidRPr="00AD7BF2" w:rsidRDefault="008E4975" w:rsidP="00D94637">
          <w:pPr>
            <w:pStyle w:val="FooterText"/>
            <w:spacing w:before="40"/>
          </w:pPr>
          <w:r>
            <w:t>PŘÍLOHA K PŘÍLOZE</w:t>
          </w:r>
        </w:p>
      </w:tc>
      <w:tc>
        <w:tcPr>
          <w:tcW w:w="1455" w:type="pct"/>
          <w:gridSpan w:val="3"/>
          <w:shd w:val="clear" w:color="auto" w:fill="auto"/>
        </w:tcPr>
        <w:p w:rsidR="008E4975" w:rsidRPr="00AD7BF2" w:rsidRDefault="008E4975" w:rsidP="00D204D6">
          <w:pPr>
            <w:pStyle w:val="FooterText"/>
            <w:spacing w:before="40"/>
            <w:jc w:val="center"/>
          </w:pPr>
          <w:r>
            <w:t>TREE.1.B</w:t>
          </w:r>
        </w:p>
      </w:tc>
      <w:tc>
        <w:tcPr>
          <w:tcW w:w="742" w:type="pct"/>
          <w:shd w:val="clear" w:color="auto" w:fill="auto"/>
        </w:tcPr>
        <w:p w:rsidR="008E4975" w:rsidRPr="00D94637" w:rsidRDefault="008E4975" w:rsidP="002F0099">
          <w:pPr>
            <w:pStyle w:val="FooterText"/>
            <w:jc w:val="center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1029" w:type="pct"/>
          <w:gridSpan w:val="2"/>
          <w:shd w:val="clear" w:color="auto" w:fill="auto"/>
        </w:tcPr>
        <w:p w:rsidR="008E4975" w:rsidRPr="000310C2" w:rsidRDefault="008E4975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CS</w:t>
          </w:r>
        </w:p>
      </w:tc>
    </w:tr>
  </w:tbl>
  <w:p w:rsidR="00EF271E" w:rsidRPr="008E4975" w:rsidRDefault="00946070" w:rsidP="008E4975">
    <w:pPr>
      <w:pStyle w:val="FooterCounci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71" w:rsidRDefault="00643D71" w:rsidP="008D3C9A">
      <w:pPr>
        <w:spacing w:before="0" w:after="0" w:line="240" w:lineRule="auto"/>
      </w:pPr>
      <w:r>
        <w:separator/>
      </w:r>
    </w:p>
  </w:footnote>
  <w:footnote w:type="continuationSeparator" w:id="0">
    <w:p w:rsidR="00643D71" w:rsidRDefault="00643D71" w:rsidP="00EC3B25">
      <w:pPr>
        <w:spacing w:before="0" w:after="0" w:line="240" w:lineRule="auto"/>
      </w:pPr>
      <w:r>
        <w:continuationSeparator/>
      </w:r>
    </w:p>
  </w:footnote>
  <w:footnote w:id="1">
    <w:p w:rsidR="008E4975" w:rsidRPr="00BF6B3C" w:rsidRDefault="008E4975" w:rsidP="00946070">
      <w:pPr>
        <w:pStyle w:val="FootnoteText"/>
      </w:pPr>
      <w:r w:rsidRPr="00BF6B3C">
        <w:rPr>
          <w:rStyle w:val="FootnoteReference"/>
        </w:rPr>
        <w:footnoteRef/>
      </w:r>
      <w:r w:rsidRPr="00BF6B3C">
        <w:tab/>
        <w:t>Pracovní dokument útvarů Komise 2010 SWD(2021) 351 final, s. 98–104 „</w:t>
      </w:r>
      <w:r w:rsidRPr="00BF6B3C">
        <w:rPr>
          <w:i/>
          <w:iCs/>
        </w:rPr>
        <w:t>Kulturní a</w:t>
      </w:r>
      <w:r w:rsidR="00946070">
        <w:rPr>
          <w:i/>
          <w:iCs/>
        </w:rPr>
        <w:t> </w:t>
      </w:r>
      <w:r w:rsidRPr="00BF6B3C">
        <w:rPr>
          <w:i/>
          <w:iCs/>
        </w:rPr>
        <w:t>kreativní odvětví představují různorodou skupinu.</w:t>
      </w:r>
      <w:r w:rsidRPr="00BF6B3C">
        <w:rPr>
          <w:i/>
        </w:rPr>
        <w:t xml:space="preserve"> </w:t>
      </w:r>
      <w:r w:rsidRPr="00BF6B3C">
        <w:rPr>
          <w:i/>
          <w:iCs/>
        </w:rPr>
        <w:t>Největšími odvětvími jsou audiovizuální průmysl (televize, videohry, video na vyžádání, kino, virtuální a rozšířená realita), hudební průmysl, vydavatelství knih a tiskových publikací, reklama, kulturní dědictví (muzea a</w:t>
      </w:r>
      <w:r w:rsidR="00946070">
        <w:rPr>
          <w:i/>
          <w:iCs/>
        </w:rPr>
        <w:t> </w:t>
      </w:r>
      <w:r w:rsidRPr="00BF6B3C">
        <w:rPr>
          <w:i/>
          <w:iCs/>
        </w:rPr>
        <w:t>historické památky), umělecká vystoupení (divadlo, tanec) a výtvarné umění.“</w:t>
      </w:r>
      <w:r w:rsidRPr="00BF6B3C">
        <w:t xml:space="preserve"> Tato rozsáhlá definice vychází z rámce UNESCO pro statistiky v oblasti kultury z roku 2009, ze zelené knihy Evropské komise nazvané „Uvolnění potenciálu kulturních a tvůrčích odvětví“ a z nařízení o programu Kreativní Evropa.</w:t>
      </w:r>
    </w:p>
  </w:footnote>
  <w:footnote w:id="2">
    <w:p w:rsidR="008E4975" w:rsidRPr="00BF6B3C" w:rsidRDefault="008E4975" w:rsidP="008E4975">
      <w:pPr>
        <w:pStyle w:val="FootnoteText"/>
      </w:pPr>
      <w:r w:rsidRPr="00BF6B3C">
        <w:rPr>
          <w:rStyle w:val="FootnoteReference"/>
        </w:rPr>
        <w:footnoteRef/>
      </w:r>
      <w:r w:rsidRPr="00BF6B3C">
        <w:tab/>
        <w:t>Sdělení s názvem „Aktualizace nové průmyslové strategie 2020: budování silnějšího jednotného trhu pro oživení Evropy“ (COM(2021) 350 final).</w:t>
      </w:r>
      <w:r w:rsidRPr="00BF6B3C">
        <w:br/>
      </w:r>
    </w:p>
  </w:footnote>
  <w:footnote w:id="3">
    <w:p w:rsidR="008E4975" w:rsidRPr="00BF6B3C" w:rsidRDefault="008E4975" w:rsidP="008E4975">
      <w:pPr>
        <w:pStyle w:val="FootnoteText"/>
      </w:pPr>
      <w:r w:rsidRPr="00BF6B3C">
        <w:rPr>
          <w:rStyle w:val="FootnoteReference"/>
          <w:bCs/>
        </w:rPr>
        <w:footnoteRef/>
      </w:r>
      <w:r w:rsidRPr="00BF6B3C">
        <w:rPr>
          <w:b/>
          <w:bCs/>
        </w:rPr>
        <w:tab/>
      </w:r>
      <w:r w:rsidRPr="00BF6B3C">
        <w:t>Pracovní dokument útvarů Komise 2010 SWD(2021) 351 final, s. 98–104 (https://ec.europa.eu/info/sites/default/files/swd-annual-single-market-report-2021_en.pdf).</w:t>
      </w:r>
    </w:p>
  </w:footnote>
  <w:footnote w:id="4">
    <w:p w:rsidR="008E4975" w:rsidRPr="00BF6B3C" w:rsidRDefault="008E4975" w:rsidP="008E4975">
      <w:pPr>
        <w:pStyle w:val="FootnoteText"/>
      </w:pPr>
      <w:r w:rsidRPr="00BF6B3C">
        <w:rPr>
          <w:rStyle w:val="FootnoteReference"/>
        </w:rPr>
        <w:footnoteRef/>
      </w:r>
      <w:r w:rsidRPr="00BF6B3C">
        <w:tab/>
        <w:t>Tuto studii má vypracovat Evropská komise.</w:t>
      </w:r>
    </w:p>
  </w:footnote>
  <w:footnote w:id="5">
    <w:p w:rsidR="008E4975" w:rsidRPr="00BF6B3C" w:rsidRDefault="008E4975" w:rsidP="008E4975">
      <w:pPr>
        <w:pStyle w:val="FootnoteText"/>
      </w:pPr>
      <w:r w:rsidRPr="00BF6B3C">
        <w:rPr>
          <w:rStyle w:val="FootnoteReference"/>
        </w:rPr>
        <w:footnoteRef/>
      </w:r>
      <w:r w:rsidRPr="00BF6B3C">
        <w:tab/>
        <w:t xml:space="preserve">Evropský portál obsahu on-line: </w:t>
      </w:r>
      <w:hyperlink r:id="rId1" w:history="1">
        <w:r w:rsidRPr="00BF6B3C">
          <w:rPr>
            <w:color w:val="0000FF" w:themeColor="hyperlink"/>
            <w:u w:val="single"/>
          </w:rPr>
          <w:t>https://agorateka.eu/</w:t>
        </w:r>
      </w:hyperlink>
      <w:r w:rsidRPr="00BF6B3C">
        <w:t>.</w:t>
      </w:r>
      <w:bookmarkStart w:id="2" w:name="DQCErrorScope7c986ad09bc54019b02ef80c998"/>
      <w:r w:rsidRPr="00BF6B3C">
        <w:t xml:space="preserve"> </w:t>
      </w:r>
      <w:bookmarkEnd w:id="2"/>
    </w:p>
  </w:footnote>
  <w:footnote w:id="6">
    <w:p w:rsidR="008E4975" w:rsidRPr="00BF6B3C" w:rsidRDefault="008E4975" w:rsidP="008E4975">
      <w:pPr>
        <w:pStyle w:val="FootnoteText"/>
      </w:pPr>
      <w:r w:rsidRPr="00BF6B3C">
        <w:rPr>
          <w:rStyle w:val="FootnoteReference"/>
        </w:rPr>
        <w:footnoteRef/>
      </w:r>
      <w:r w:rsidRPr="00BF6B3C">
        <w:tab/>
        <w:t>Skupina evropských regulačních orgánů pro audiovizuální mediální služby (ERGA).</w:t>
      </w:r>
    </w:p>
  </w:footnote>
  <w:footnote w:id="7">
    <w:p w:rsidR="008E4975" w:rsidRPr="00BF6B3C" w:rsidRDefault="008E4975" w:rsidP="008E4975">
      <w:pPr>
        <w:pStyle w:val="FootnoteText"/>
        <w:rPr>
          <w:b/>
          <w:bCs/>
        </w:rPr>
      </w:pPr>
      <w:r w:rsidRPr="00BF6B3C">
        <w:rPr>
          <w:rStyle w:val="FootnoteReference"/>
        </w:rPr>
        <w:footnoteRef/>
      </w:r>
      <w:r w:rsidRPr="00BF6B3C">
        <w:tab/>
        <w:t xml:space="preserve">Fond Rady Evropy pro podporu kultury: </w:t>
      </w:r>
      <w:hyperlink r:id="rId2" w:history="1">
        <w:r w:rsidRPr="00BF6B3C">
          <w:rPr>
            <w:color w:val="0000FF" w:themeColor="hyperlink"/>
            <w:u w:val="single"/>
          </w:rPr>
          <w:t>https://www.coe.int/en/web/eurimages</w:t>
        </w:r>
      </w:hyperlink>
      <w:r w:rsidRPr="00BF6B3C">
        <w:t>.</w:t>
      </w:r>
      <w:bookmarkStart w:id="3" w:name="DQCErrorScopeab6f16d624b34b41ad909d22715"/>
      <w:r w:rsidRPr="00BF6B3C">
        <w:rPr>
          <w:b/>
          <w:bCs/>
        </w:rPr>
        <w:t xml:space="preserve"> 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71" w:rsidRPr="008E4975" w:rsidRDefault="008E4975" w:rsidP="008E4975">
    <w:pPr>
      <w:pStyle w:val="HeaderCouncilLarge"/>
    </w:pPr>
    <w: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71" w:rsidRPr="008E4975" w:rsidRDefault="008E4975" w:rsidP="008E4975">
    <w:pPr>
      <w:pStyle w:val="HeaderCouncil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75" w:rsidRPr="008E4975" w:rsidRDefault="008E4975" w:rsidP="008E49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1E" w:rsidRPr="008E4975" w:rsidRDefault="00946070" w:rsidP="008E4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632"/>
    <w:multiLevelType w:val="hybridMultilevel"/>
    <w:tmpl w:val="78E445D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2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3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4" w15:restartNumberingAfterBreak="0">
    <w:nsid w:val="0F9E483F"/>
    <w:multiLevelType w:val="hybridMultilevel"/>
    <w:tmpl w:val="98CC622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8B28C7"/>
    <w:multiLevelType w:val="hybridMultilevel"/>
    <w:tmpl w:val="10A28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8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9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DD2FBD"/>
    <w:multiLevelType w:val="hybridMultilevel"/>
    <w:tmpl w:val="220CA4F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DCF1D6F"/>
    <w:multiLevelType w:val="singleLevel"/>
    <w:tmpl w:val="F2CC10C2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38154C87"/>
    <w:multiLevelType w:val="hybridMultilevel"/>
    <w:tmpl w:val="36C8229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0205A37"/>
    <w:multiLevelType w:val="hybridMultilevel"/>
    <w:tmpl w:val="4DECC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49370666"/>
    <w:multiLevelType w:val="hybridMultilevel"/>
    <w:tmpl w:val="66880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61DEC"/>
    <w:multiLevelType w:val="singleLevel"/>
    <w:tmpl w:val="6C9066B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4DAA3654"/>
    <w:multiLevelType w:val="multilevel"/>
    <w:tmpl w:val="D4A2DE5A"/>
    <w:name w:val="Default"/>
    <w:lvl w:ilvl="0">
      <w:start w:val="1"/>
      <w:numFmt w:val="decimal"/>
      <w:lvlRestart w:val="0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0C26C7E"/>
    <w:multiLevelType w:val="hybridMultilevel"/>
    <w:tmpl w:val="9B7A155A"/>
    <w:lvl w:ilvl="0" w:tplc="90D22A5E">
      <w:start w:val="1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3CE448E"/>
    <w:multiLevelType w:val="hybridMultilevel"/>
    <w:tmpl w:val="A85E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22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194BB8"/>
    <w:multiLevelType w:val="multilevel"/>
    <w:tmpl w:val="6068EC0C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25" w15:restartNumberingAfterBreak="0">
    <w:nsid w:val="5FAA45E8"/>
    <w:multiLevelType w:val="hybridMultilevel"/>
    <w:tmpl w:val="0CE05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27" w15:restartNumberingAfterBreak="0">
    <w:nsid w:val="67EA53CB"/>
    <w:multiLevelType w:val="hybridMultilevel"/>
    <w:tmpl w:val="B982577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29" w15:restartNumberingAfterBreak="0">
    <w:nsid w:val="6D9D664B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0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31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2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33" w15:restartNumberingAfterBreak="0">
    <w:nsid w:val="78F403D7"/>
    <w:multiLevelType w:val="hybridMultilevel"/>
    <w:tmpl w:val="664627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35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num w:numId="1">
    <w:abstractNumId w:val="29"/>
  </w:num>
  <w:num w:numId="2">
    <w:abstractNumId w:val="2"/>
  </w:num>
  <w:num w:numId="3">
    <w:abstractNumId w:val="30"/>
  </w:num>
  <w:num w:numId="4">
    <w:abstractNumId w:val="24"/>
  </w:num>
  <w:num w:numId="5">
    <w:abstractNumId w:val="3"/>
  </w:num>
  <w:num w:numId="6">
    <w:abstractNumId w:val="32"/>
  </w:num>
  <w:num w:numId="7">
    <w:abstractNumId w:val="35"/>
  </w:num>
  <w:num w:numId="8">
    <w:abstractNumId w:val="21"/>
  </w:num>
  <w:num w:numId="9">
    <w:abstractNumId w:val="31"/>
  </w:num>
  <w:num w:numId="10">
    <w:abstractNumId w:val="26"/>
  </w:num>
  <w:num w:numId="11">
    <w:abstractNumId w:val="15"/>
  </w:num>
  <w:num w:numId="12">
    <w:abstractNumId w:val="8"/>
  </w:num>
  <w:num w:numId="13">
    <w:abstractNumId w:val="7"/>
  </w:num>
  <w:num w:numId="14">
    <w:abstractNumId w:val="28"/>
  </w:num>
  <w:num w:numId="15">
    <w:abstractNumId w:val="34"/>
  </w:num>
  <w:num w:numId="16">
    <w:abstractNumId w:val="1"/>
  </w:num>
  <w:num w:numId="17">
    <w:abstractNumId w:val="9"/>
  </w:num>
  <w:num w:numId="18">
    <w:abstractNumId w:val="6"/>
  </w:num>
  <w:num w:numId="19">
    <w:abstractNumId w:val="10"/>
  </w:num>
  <w:num w:numId="20">
    <w:abstractNumId w:val="2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</w:num>
  <w:num w:numId="24">
    <w:abstractNumId w:val="14"/>
  </w:num>
  <w:num w:numId="25">
    <w:abstractNumId w:val="20"/>
  </w:num>
  <w:num w:numId="26">
    <w:abstractNumId w:val="4"/>
  </w:num>
  <w:num w:numId="27">
    <w:abstractNumId w:val="11"/>
  </w:num>
  <w:num w:numId="28">
    <w:abstractNumId w:val="13"/>
  </w:num>
  <w:num w:numId="29">
    <w:abstractNumId w:val="27"/>
  </w:num>
  <w:num w:numId="30">
    <w:abstractNumId w:val="0"/>
  </w:num>
  <w:num w:numId="31">
    <w:abstractNumId w:val="25"/>
  </w:num>
  <w:num w:numId="32">
    <w:abstractNumId w:val="16"/>
  </w:num>
  <w:num w:numId="33">
    <w:abstractNumId w:val="17"/>
  </w:num>
  <w:num w:numId="34">
    <w:abstractNumId w:val="33"/>
  </w:num>
  <w:num w:numId="35">
    <w:abstractNumId w:val="19"/>
  </w:num>
  <w:num w:numId="36">
    <w:abstractNumId w:val="5"/>
  </w:num>
  <w:num w:numId="37">
    <w:abstractNumId w:val="12"/>
  </w:num>
  <w:num w:numId="38">
    <w:abstractNumId w:val="15"/>
  </w:num>
  <w:num w:numId="39">
    <w:abstractNumId w:val="12"/>
    <w:lvlOverride w:ilvl="0">
      <w:startOverride w:val="20"/>
    </w:lvlOverride>
  </w:num>
  <w:num w:numId="40">
    <w:abstractNumId w:val="15"/>
  </w:num>
  <w:num w:numId="41">
    <w:abstractNumId w:val="1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Formatting/>
  <w:defaultTabStop w:val="567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  <w:endnote w:id="1"/>
  </w:endnotePr>
  <w:compat>
    <w:doNotExpandShiftReturn/>
    <w:doNotUseHTMLParagraphAutoSpacing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6.2&quot; technicalblockguid=&quot;4680321767615768646&quot;&gt;_x000d__x000a_  &lt;metadata key=&quot;md_DocumentLanguages&quot; translate=&quot;false&quot;&gt;_x000d__x000a_    &lt;basicdatatypelist&gt;_x000d__x000a_      &lt;language key=&quot;CS&quot; text=&quot;CS&quot; /&gt;_x000d__x000a_    &lt;/basicdatatypelist&gt;_x000d__x000a_  &lt;/metadata&gt;_x000d__x000a_  &lt;metadata key=&quot;md_OriginalLanguages&quot; translate=&quot;false&quot;&gt;_x000d__x000a_    &lt;basicdatatypelist&gt;_x000d__x000a_      &lt;language key=&quot;FR&quot; text=&quot;FR&quot; /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36&quot; text=&quot;POZNÁMKA&quot; /&gt;_x000d__x000a_    &lt;/basicdatatype&gt;_x000d__x000a_  &lt;/metadata&gt;_x000d__x000a_  &lt;metadata key=&quot;md_HeadingText&quot; translate=&quot;false&quot;&gt;_x000d__x000a_    &lt;headingtext text=&quot;POZNÁMKA&quot;&gt;_x000d__x000a_      &lt;formattedtext&gt;_x000d__x000a_        &lt;xaml text=&quot;POZNÁMKA&quot;&gt;&amp;lt;FlowDocument xmlns=&quot;http://schemas.microsoft.com/winfx/2006/xaml/presentation&quot;&amp;gt;&amp;lt;Paragraph&amp;gt;POZNÁMKA&amp;lt;/Paragraph&amp;gt;&amp;lt;/FlowDocument&amp;gt;&lt;/xaml&gt;_x000d__x000a_      &lt;/formattedtext&gt;_x000d__x000a_    &lt;/headingtext&gt;_x000d__x000a_  &lt;/metadata&gt;_x000d__x000a_  &lt;metadata key=&quot;md_DocumentGroup&quot; translate=&quot;false&quot;&gt;_x000d__x000a_    &lt;basicdatatype&gt;_x000d__x000a_      &lt;document_group key=&quot;dg_07&quot; text=&quot;Note&quot; /&gt;_x000d__x000a_    &lt;/basicdatatype&gt;_x000d__x000a_  &lt;/metadata&gt;_x000d__x000a_  &lt;metadata key=&quot;md_DocumentType&quot; translate=&quot;fals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Evropské uni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&quot; /&gt;_x000d__x000a_    &lt;/basicdatatype&gt;_x000d__x000a_  &lt;/metadata&gt;_x000d__x000a_  &lt;metadata key=&quot;md_DocumentDate&quot; translate=&quot;false&quot;&gt;_x000d__x000a_    &lt;text&gt;2022-03-18&lt;/text&gt;_x000d__x000a_  &lt;/metadata&gt;_x000d__x000a_  &lt;metadata key=&quot;md_Prefix&quot; translate=&quot;false&quot;&gt;_x000d__x000a_    &lt;text&gt;&lt;/text&gt;_x000d__x000a_  &lt;/metadata&gt;_x000d__x000a_  &lt;metadata key=&quot;md_DocumentNumber&quot; translate=&quot;false&quot;&gt;_x000d__x000a_    &lt;text&gt;6937&lt;/text&gt;_x000d__x000a_  &lt;/metadata&gt;_x000d__x000a_  &lt;metadata key=&quot;md_YearDocumentNumber&quot; translate=&quot;false&quot;&gt;_x000d__x000a_    &lt;text&gt;2022&lt;/text&gt;_x000d__x000a_  &lt;/metadata&gt;_x000d__x000a_  &lt;metadata key=&quot;md_Suffixes&quot; translate=&quot;false&quot;&gt;_x000d__x000a_    &lt;text&gt;&lt;/text&gt;_x000d__x000a_  &lt;/metadata&gt;_x000d__x000a_  &lt;metadata key=&quot;md_SuffixLanguagesInvolved&quot; translate=&quot;false&quot;&gt;_x000d__x000a_    &lt;text&gt;&lt;/text&gt;_x000d__x000a_  &lt;/metadata&gt;_x000d__x000a_  &lt;metadata key=&quot;md_FirstRevNumber&quot; translate=&quot;false&quot;&gt;_x000d__x000a_    &lt;text&gt;&lt;/text&gt;_x000d__x000a_  &lt;/metadata&gt;_x000d__x000a_  &lt;metadata key=&quot;md_Distribution&quot; translate=&quot;false&quot;&gt;_x000d__x000a_    &lt;basicdatatype&gt;_x000d__x000a_      &lt;distribution key=&quot;dis_02&quot; text=&quot;LIMITE&quot; /&gt;_x000d__x000a_    &lt;/basicdatatype&gt;_x000d__x000a_  &lt;/metadata&gt;_x000d__x000a_  &lt;metadata key=&quot;md_SubjectCodes&quot; translate=&quot;false&quot;&gt;_x000d__x000a_    &lt;textlist&gt;_x000d__x000a_      &lt;text&gt;AUDIO 17&lt;/text&gt;_x000d__x000a_      &lt;text&gt;CULT 24&lt;/text&gt;_x000d__x000a_      &lt;text&gt;ENV 185&lt;/text&gt;_x000d__x000a_      &lt;text&gt;SAN 135&lt;/text&gt;_x000d__x000a_      &lt;text&gt;SUSTDEV 53&lt;/text&gt;_x000d__x000a_      &lt;text&gt;IND 62&lt;/text&gt;_x000d__x000a_      &lt;text&gt;PI 18&lt;/text&gt;_x000d__x000a_      &lt;text&gt;DIGIT 48&lt;/text&gt;_x000d__x000a_      &lt;text&gt;RECH 113&lt;/text&gt;_x000d__x000a_      &lt;text&gt;TOUR 22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 translate=&quot;false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 translate=&quot;false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 translate=&quot;false&quot;&gt;_x000d__x000a_    &lt;textlist /&gt;_x000d__x000a_  &lt;/metadata&gt;_x000d__x000a_  &lt;metadata key=&quot;md_AdditionalReferences&quot; translate=&quot;false&quot;&gt;_x000d__x000a_    &lt;textlist /&gt;_x000d__x000a_  &lt;/metadata&gt;_x000d__x000a_  &lt;metadata key=&quot;md_LEXNumber&quot; translate=&quot;false&quot;&gt;_x000d__x000a_    &lt;text&gt;&lt;/text&gt;_x000d__x000a_  &lt;/metadata&gt;_x000d__x000a_  &lt;metadata key=&quot;md_SousEmbargo&quot; translate=&quot;false&quot;&gt;_x000d__x000a_    &lt;text&gt;&lt;/text&gt;_x000d__x000a_  &lt;/metadata&gt;_x000d__x000a_  &lt;metadata key=&quot;md_DraftVersion&quot; translate=&quot;false&quot;&gt;_x000d__x000a_    &lt;text&gt;&lt;/text&gt;_x000d__x000a_  &lt;/metadata&gt;_x000d__x000a_  &lt;metadata key=&quot;md_Originator&quot; translate=&quot;false&quot;&gt;_x000d__x000a_    &lt;basicdatatype&gt;_x000d__x000a_      &lt;originator key=&quot;or_09&quot; text=&quot;Generální sekretariát Rady&quot; /&gt;_x000d__x000a_    &lt;/basicdatatype&gt;_x000d__x000a_  &lt;/metadata&gt;_x000d__x000a_  &lt;metadata key=&quot;md_Recipient&quot; translate=&quot;false&quot;&gt;_x000d__x000a_    &lt;basicdatatype&gt;_x000d__x000a_      &lt;recipient key=&quot;re_05&quot; text=&quot;Výbor stálých zástupc&amp;#367; / Rada&quot; /&gt;_x000d__x000a_    &lt;/basicdatatype&gt;_x000d__x000a_  &lt;/metadata&gt;_x000d__x000a_  &lt;metadata key=&quot;md_DateOfReceipt&quot; translate=&quot;false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 translate=&quot;false&quot;&gt;_x000d__x000a_    &lt;textlist /&gt;_x000d__x000a_  &lt;/metadata&gt;_x000d__x000a_  &lt;metadata key=&quot;md_CommissionDocuments&quot; translate=&quot;false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 translate=&quot;false&quot;&gt;_x000d__x000a_    &lt;text&gt;&lt;/text&gt;_x000d__x000a_  &lt;/metadata&gt;_x000d__x000a_  &lt;metadata key=&quot;md_MeetingInformation&quot; /&gt;_x000d__x000a_  &lt;metadata key=&quot;md_Item&quot; /&gt;_x000d__x000a_  &lt;metadata key=&quot;md_SubjectPrefix&quot; translate=&quot;false&quot;&gt;_x000d__x000a_    &lt;text&gt;&lt;/text&gt;_x000d__x000a_  &lt;/metadata&gt;_x000d__x000a_  &lt;metadata key=&quot;md_Subject&quot;&gt;_x000d__x000a_    &lt;xaml text=&quot;Návrh záv&amp;#283;r&amp;#367; Rady o budování evropské strategie pro ekosystém kulturních a kreativních odv&amp;#283;tví &amp;#8211; schválení&quot;&gt;&amp;lt;FlowDocument FontFamily=&quot;Segoe UI&quot; FontSize=&quot;12&quot; PagePadding=&quot;2,2,2,2&quot; AllowDrop=&quot;False&quot; xmlns=&quot;http://schemas.microsoft.com/winfx/2006/xaml/presentation&quot;&amp;gt;&amp;lt;Paragraph&amp;gt;Návrh záv&amp;#283;r&amp;#367; Rady o budování evropské strategie pro ekosystém kulturních a kreativních odv&amp;#283;tví&amp;lt;LineBreak /&amp;gt;&amp;#8211; &amp;lt;Run FontStyle=&quot;Italic&quot;&amp;gt;schválení&amp;lt;/Run&amp;gt;&amp;lt;/Paragraph&amp;gt;&amp;lt;/FlowDocument&amp;gt;&lt;/xaml&gt;_x000d__x000a_  &lt;/metadata&gt;_x000d__x000a_  &lt;metadata key=&quot;md_SubjectFootnote&quot; /&gt;_x000d__x000a_  &lt;metadata key=&quot;md_DG&quot; translate=&quot;false&quot;&gt;_x000d__x000a_    &lt;text&gt;TREE.1.B&lt;/text&gt;_x000d__x000a_  &lt;/metadata&gt;_x000d__x000a_  &lt;metadata key=&quot;md_Initials&quot; translate=&quot;false&quot;&gt;_x000d__x000a_    &lt;text&gt;lr/EBK/rk&lt;/text&gt;_x000d__x000a_  &lt;/metadata&gt;_x000d__x000a_  &lt;metadata key=&quot;md_RectifProcedureType&quot; translate=&quot;fals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 translate=&quot;false&quot;&gt;_x000d__x000a_    &lt;basicdatatype&gt;_x000d__x000a_      &lt;text&gt;&lt;/text&gt;_x000d__x000a_    &lt;/basicdatatype&gt;_x000d__x000a_  &lt;/metadata&gt;_x000d__x000a_  &lt;metadata key=&quot;md_Rectif_Source1_DocumentType&quot; translate=&quot;false&quot;&gt;_x000d__x000a_    &lt;basicdatatype&gt;_x000d__x000a_      &lt;doc_type key=&quot;&quot; /&gt;_x000d__x000a_    &lt;/basicdatatype&gt;_x000d__x000a_  &lt;/metadata&gt;_x000d__x000a_  &lt;metadata key=&quot;md_Rectif_Source1_DocumentNumber&quot; translate=&quot;false&quot;&gt;_x000d__x000a_    &lt;text&gt;&lt;/text&gt;_x000d__x000a_  &lt;/metadata&gt;_x000d__x000a_  &lt;metadata key=&quot;md_Rectif_Source1_YearDocumentNumber&quot; translate=&quot;false&quot;&gt;_x000d__x000a_    &lt;text&gt;2022&lt;/text&gt;_x000d__x000a_  &lt;/metadata&gt;_x000d__x000a_  &lt;metadata key=&quot;md_Rectif_Source1_Suffixes&quot; translate=&quot;false&quot;&gt;_x000d__x000a_    &lt;text&gt;&lt;/text&gt;_x000d__x000a_  &lt;/metadata&gt;_x000d__x000a_  &lt;metadata key=&quot;md_Rectif_Source2_UniqueHeading&quot; translate=&quot;false&quot;&gt;_x000d__x000a_    &lt;basicdatatype&gt;_x000d__x000a_      &lt;text&gt;&lt;/text&gt;_x000d__x000a_    &lt;/basicdatatype&gt;_x000d__x000a_  &lt;/metadata&gt;_x000d__x000a_  &lt;metadata key=&quot;md_Rectif_Source2_DocumentType&quot; translate=&quot;false&quot;&gt;_x000d__x000a_    &lt;basicdatatype&gt;_x000d__x000a_      &lt;doc_type key=&quot;&quot; /&gt;_x000d__x000a_    &lt;/basicdatatype&gt;_x000d__x000a_  &lt;/metadata&gt;_x000d__x000a_  &lt;metadata key=&quot;md_Rectif_Source2_DocumentNumber&quot; translate=&quot;false&quot;&gt;_x000d__x000a_    &lt;text&gt;&lt;/text&gt;_x000d__x000a_  &lt;/metadata&gt;_x000d__x000a_  &lt;metadata key=&quot;md_Rectif_Source2_YearDocumentNumber&quot; translate=&quot;false&quot;&gt;_x000d__x000a_    &lt;text&gt;2022&lt;/text&gt;_x000d__x000a_  &lt;/metadata&gt;_x000d__x000a_  &lt;metadata key=&quot;md_Rectif_Source2_Suffixes&quot; translate=&quot;false&quot;&gt;_x000d__x000a_    &lt;text&gt;&lt;/text&gt;_x000d__x000a_  &lt;/metadata&gt;_x000d__x000a_  &lt;metadata key=&quot;md_CoverPageDocWithCouncilFooter&quot; translate=&quot;false&quot;&gt;_x000d__x000a_    &lt;text&gt;false&lt;/text&gt;_x000d__x000a_  &lt;/metadata&gt;_x000d__x000a_  &lt;metadata key=&quot;md_SourceDocLanguage&quot; translate=&quot;false&quot;&gt;_x000d__x000a_    &lt;text&gt;&lt;/text&gt;_x000d__x000a_  &lt;/metadata&gt;_x000d__x000a_  &lt;metadata key=&quot;md_SourceDocType&quot; translate=&quot;false&quot;&gt;_x000d__x000a_    &lt;text&gt;&lt;/text&gt;_x000d__x000a_  &lt;/metadata&gt;_x000d__x000a_  &lt;metadata key=&quot;md_SourceDocTitle&quot; translate=&quot;false&quot;&gt;_x000d__x000a_    &lt;text&gt;&lt;/text&gt;_x000d__x000a_  &lt;/metadata&gt;_x000d__x000a_  &lt;metadata key=&quot;md_SourceDocIsCECDoc&quot; translate=&quot;false&quot;&gt;_x000d__x000a_    &lt;text&gt;fals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CustomNB&quot; /&gt;_x000d__x000a_  &lt;metadata key=&quot;md_Meetings&quot; translate=&quot;false&quot;&gt;_x000d__x000a_    &lt;meetings /&gt;_x000d__x000a_  &lt;/metadata&gt;_x000d__x000a_  &lt;metadata key=&quot;md_VisualRepresentation&quot; translate=&quot;false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&gt;_x000d__x000a_    &lt;text&gt;Linked&lt;/text&gt;_x000d__x000a_  &lt;/metadata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W_AutoOpen" w:val="True"/>
    <w:docVar w:name="DW_DocType" w:val="DW_COUNCIL"/>
    <w:docVar w:name="DW_DQC_HasErrors" w:val="true"/>
    <w:docVar w:name="DW_DQC_HasRepairableErrors" w:val="true"/>
    <w:docVar w:name="VSSDB_IniPath" w:val="\\at100\user\wovo\SEILEG\vss\srcsafe.ini"/>
    <w:docVar w:name="VSSDB_ProjectPath" w:val="$/DocuWrite/DOT/DW_COUNCIL"/>
  </w:docVars>
  <w:rsids>
    <w:rsidRoot w:val="00643D71"/>
    <w:rsid w:val="00046245"/>
    <w:rsid w:val="00082AD6"/>
    <w:rsid w:val="00142504"/>
    <w:rsid w:val="00165CF3"/>
    <w:rsid w:val="0018130B"/>
    <w:rsid w:val="001A7055"/>
    <w:rsid w:val="001B675E"/>
    <w:rsid w:val="00206CB3"/>
    <w:rsid w:val="002222DE"/>
    <w:rsid w:val="002E7039"/>
    <w:rsid w:val="002F7E11"/>
    <w:rsid w:val="00303A37"/>
    <w:rsid w:val="00306889"/>
    <w:rsid w:val="00494D2E"/>
    <w:rsid w:val="004E3E6D"/>
    <w:rsid w:val="004F6B10"/>
    <w:rsid w:val="00524641"/>
    <w:rsid w:val="0054044A"/>
    <w:rsid w:val="00555AA7"/>
    <w:rsid w:val="00560050"/>
    <w:rsid w:val="00561C2F"/>
    <w:rsid w:val="00614C77"/>
    <w:rsid w:val="00630531"/>
    <w:rsid w:val="0063312A"/>
    <w:rsid w:val="00643D71"/>
    <w:rsid w:val="00645A75"/>
    <w:rsid w:val="00660259"/>
    <w:rsid w:val="00663075"/>
    <w:rsid w:val="0067753F"/>
    <w:rsid w:val="006C24E3"/>
    <w:rsid w:val="006F689A"/>
    <w:rsid w:val="0071587D"/>
    <w:rsid w:val="0073335D"/>
    <w:rsid w:val="00763A87"/>
    <w:rsid w:val="00772954"/>
    <w:rsid w:val="007B0E08"/>
    <w:rsid w:val="007C1261"/>
    <w:rsid w:val="008146F9"/>
    <w:rsid w:val="008A070B"/>
    <w:rsid w:val="008A3A89"/>
    <w:rsid w:val="008B6014"/>
    <w:rsid w:val="008C0D7B"/>
    <w:rsid w:val="008D3C9A"/>
    <w:rsid w:val="008E4975"/>
    <w:rsid w:val="00946070"/>
    <w:rsid w:val="00946690"/>
    <w:rsid w:val="009930AF"/>
    <w:rsid w:val="009C6417"/>
    <w:rsid w:val="00A105A2"/>
    <w:rsid w:val="00A12260"/>
    <w:rsid w:val="00A24C96"/>
    <w:rsid w:val="00A54763"/>
    <w:rsid w:val="00A565C0"/>
    <w:rsid w:val="00A95646"/>
    <w:rsid w:val="00B163AA"/>
    <w:rsid w:val="00B5488B"/>
    <w:rsid w:val="00B54CA7"/>
    <w:rsid w:val="00B92652"/>
    <w:rsid w:val="00BB2905"/>
    <w:rsid w:val="00BE26C5"/>
    <w:rsid w:val="00C07E93"/>
    <w:rsid w:val="00CD03CB"/>
    <w:rsid w:val="00D20A62"/>
    <w:rsid w:val="00DF4F9F"/>
    <w:rsid w:val="00E16BCE"/>
    <w:rsid w:val="00E36EB1"/>
    <w:rsid w:val="00E47EB3"/>
    <w:rsid w:val="00E70B97"/>
    <w:rsid w:val="00EC3B25"/>
    <w:rsid w:val="00F74A14"/>
    <w:rsid w:val="00F8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8A359A"/>
  <w15:docId w15:val="{F806DD24-51FD-4238-824E-AEC79D2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6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88B"/>
    <w:pPr>
      <w:tabs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8B"/>
    <w:rPr>
      <w:rFonts w:ascii="Times New Roman" w:hAnsi="Times New Roman" w:cs="Times New Roman"/>
      <w:sz w:val="24"/>
      <w:shd w:val="clear" w:color="auto" w:fill="auto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B5488B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B"/>
    <w:rPr>
      <w:rFonts w:ascii="Times New Roman" w:hAnsi="Times New Roman" w:cs="Times New Roman"/>
      <w:sz w:val="24"/>
      <w:shd w:val="clear" w:color="auto" w:fill="auto"/>
      <w:lang w:val="cs-CZ"/>
    </w:rPr>
  </w:style>
  <w:style w:type="paragraph" w:styleId="FootnoteText">
    <w:name w:val="footnote text"/>
    <w:basedOn w:val="Normal"/>
    <w:link w:val="FootnoteTextChar"/>
    <w:uiPriority w:val="99"/>
    <w:unhideWhenUsed/>
    <w:rsid w:val="009C6417"/>
    <w:pPr>
      <w:spacing w:before="0" w:after="0"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6417"/>
    <w:rPr>
      <w:rFonts w:ascii="Times New Roman" w:hAnsi="Times New Roman" w:cs="Times New Roman"/>
      <w:sz w:val="24"/>
      <w:szCs w:val="20"/>
      <w:shd w:val="clear" w:color="auto" w:fill="auto"/>
      <w:lang w:val="cs-CZ"/>
    </w:rPr>
  </w:style>
  <w:style w:type="paragraph" w:customStyle="1" w:styleId="NormalCentered">
    <w:name w:val="Normal Centered"/>
    <w:basedOn w:val="Normal"/>
    <w:rsid w:val="009C6417"/>
    <w:pPr>
      <w:spacing w:before="200"/>
      <w:jc w:val="center"/>
    </w:pPr>
  </w:style>
  <w:style w:type="paragraph" w:customStyle="1" w:styleId="NormalRight">
    <w:name w:val="Normal Right"/>
    <w:basedOn w:val="Normal"/>
    <w:rsid w:val="009C6417"/>
    <w:pPr>
      <w:spacing w:before="200"/>
      <w:jc w:val="right"/>
    </w:pPr>
  </w:style>
  <w:style w:type="paragraph" w:customStyle="1" w:styleId="NormalJustified">
    <w:name w:val="Normal Justified"/>
    <w:basedOn w:val="Normal"/>
    <w:rsid w:val="009C6417"/>
    <w:pPr>
      <w:spacing w:before="200"/>
      <w:jc w:val="both"/>
    </w:pPr>
  </w:style>
  <w:style w:type="paragraph" w:customStyle="1" w:styleId="HeaderLandscape">
    <w:name w:val="HeaderLandscape"/>
    <w:basedOn w:val="Normal"/>
    <w:rsid w:val="009C6417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9C641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basedOn w:val="DefaultParagraphFont"/>
    <w:link w:val="CharCharChar"/>
    <w:uiPriority w:val="99"/>
    <w:unhideWhenUsed/>
    <w:rsid w:val="009C6417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9C641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9C641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8E4975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9C641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9C641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9C6417"/>
    <w:pPr>
      <w:ind w:left="567"/>
    </w:pPr>
  </w:style>
  <w:style w:type="paragraph" w:customStyle="1" w:styleId="Text2">
    <w:name w:val="Text 2"/>
    <w:basedOn w:val="Normal"/>
    <w:rsid w:val="009C6417"/>
    <w:pPr>
      <w:ind w:left="1134"/>
    </w:pPr>
  </w:style>
  <w:style w:type="paragraph" w:customStyle="1" w:styleId="Text3">
    <w:name w:val="Text 3"/>
    <w:basedOn w:val="Normal"/>
    <w:rsid w:val="009C6417"/>
    <w:pPr>
      <w:ind w:left="1701"/>
    </w:pPr>
  </w:style>
  <w:style w:type="paragraph" w:customStyle="1" w:styleId="Text4">
    <w:name w:val="Text 4"/>
    <w:basedOn w:val="Normal"/>
    <w:rsid w:val="009C6417"/>
    <w:pPr>
      <w:ind w:left="2268"/>
    </w:pPr>
  </w:style>
  <w:style w:type="paragraph" w:customStyle="1" w:styleId="Text5">
    <w:name w:val="Text 5"/>
    <w:basedOn w:val="Normal"/>
    <w:rsid w:val="009C6417"/>
    <w:pPr>
      <w:ind w:left="2835"/>
    </w:pPr>
  </w:style>
  <w:style w:type="paragraph" w:customStyle="1" w:styleId="Text6">
    <w:name w:val="Text 6"/>
    <w:basedOn w:val="Normal"/>
    <w:rsid w:val="009C6417"/>
    <w:pPr>
      <w:ind w:left="3402"/>
    </w:pPr>
  </w:style>
  <w:style w:type="paragraph" w:customStyle="1" w:styleId="PointManual">
    <w:name w:val="Point Manual"/>
    <w:basedOn w:val="Normal"/>
    <w:rsid w:val="009C6417"/>
    <w:pPr>
      <w:ind w:left="567" w:hanging="567"/>
    </w:pPr>
  </w:style>
  <w:style w:type="paragraph" w:customStyle="1" w:styleId="PointManual1">
    <w:name w:val="Point Manual (1)"/>
    <w:basedOn w:val="Normal"/>
    <w:rsid w:val="009C6417"/>
    <w:pPr>
      <w:ind w:left="1134" w:hanging="567"/>
    </w:pPr>
  </w:style>
  <w:style w:type="paragraph" w:customStyle="1" w:styleId="PointManual2">
    <w:name w:val="Point Manual (2)"/>
    <w:basedOn w:val="Normal"/>
    <w:rsid w:val="009C6417"/>
    <w:pPr>
      <w:ind w:left="1701" w:hanging="567"/>
    </w:pPr>
  </w:style>
  <w:style w:type="paragraph" w:customStyle="1" w:styleId="PointManual3">
    <w:name w:val="Point Manual (3)"/>
    <w:basedOn w:val="Normal"/>
    <w:rsid w:val="009C6417"/>
    <w:pPr>
      <w:ind w:left="2268" w:hanging="567"/>
    </w:pPr>
  </w:style>
  <w:style w:type="paragraph" w:customStyle="1" w:styleId="PointManual4">
    <w:name w:val="Point Manual (4)"/>
    <w:basedOn w:val="Normal"/>
    <w:rsid w:val="009C6417"/>
    <w:pPr>
      <w:ind w:left="2835" w:hanging="567"/>
    </w:pPr>
  </w:style>
  <w:style w:type="paragraph" w:customStyle="1" w:styleId="PointDoubleManual">
    <w:name w:val="Point Double Manual"/>
    <w:basedOn w:val="Normal"/>
    <w:rsid w:val="009C6417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9C6417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"/>
    <w:rsid w:val="009C6417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"/>
    <w:rsid w:val="009C6417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"/>
    <w:rsid w:val="009C6417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"/>
    <w:rsid w:val="009C6417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9C6417"/>
    <w:pPr>
      <w:numPr>
        <w:ilvl w:val="3"/>
        <w:numId w:val="16"/>
      </w:numPr>
    </w:pPr>
  </w:style>
  <w:style w:type="paragraph" w:customStyle="1" w:styleId="Pointabc2">
    <w:name w:val="Point abc (2)"/>
    <w:basedOn w:val="Normal"/>
    <w:rsid w:val="009C6417"/>
    <w:pPr>
      <w:numPr>
        <w:ilvl w:val="5"/>
        <w:numId w:val="16"/>
      </w:numPr>
    </w:pPr>
  </w:style>
  <w:style w:type="paragraph" w:customStyle="1" w:styleId="Pointabc3">
    <w:name w:val="Point abc (3)"/>
    <w:basedOn w:val="Normal"/>
    <w:rsid w:val="009C6417"/>
    <w:pPr>
      <w:numPr>
        <w:ilvl w:val="7"/>
        <w:numId w:val="16"/>
      </w:numPr>
    </w:pPr>
  </w:style>
  <w:style w:type="paragraph" w:customStyle="1" w:styleId="Pointabc4">
    <w:name w:val="Point abc (4)"/>
    <w:basedOn w:val="Normal"/>
    <w:rsid w:val="009C6417"/>
    <w:pPr>
      <w:numPr>
        <w:ilvl w:val="8"/>
        <w:numId w:val="16"/>
      </w:numPr>
    </w:pPr>
  </w:style>
  <w:style w:type="paragraph" w:customStyle="1" w:styleId="Point123">
    <w:name w:val="Point 123"/>
    <w:basedOn w:val="Normal"/>
    <w:rsid w:val="009C6417"/>
    <w:pPr>
      <w:numPr>
        <w:numId w:val="16"/>
      </w:numPr>
    </w:pPr>
  </w:style>
  <w:style w:type="paragraph" w:customStyle="1" w:styleId="Point1231">
    <w:name w:val="Point 123 (1)"/>
    <w:basedOn w:val="Normal"/>
    <w:rsid w:val="009C6417"/>
    <w:pPr>
      <w:numPr>
        <w:ilvl w:val="2"/>
        <w:numId w:val="16"/>
      </w:numPr>
    </w:pPr>
  </w:style>
  <w:style w:type="paragraph" w:customStyle="1" w:styleId="Point1232">
    <w:name w:val="Point 123 (2)"/>
    <w:basedOn w:val="Normal"/>
    <w:rsid w:val="009C6417"/>
    <w:pPr>
      <w:numPr>
        <w:ilvl w:val="4"/>
        <w:numId w:val="16"/>
      </w:numPr>
    </w:pPr>
  </w:style>
  <w:style w:type="paragraph" w:customStyle="1" w:styleId="Point1233">
    <w:name w:val="Point 123 (3)"/>
    <w:basedOn w:val="Normal"/>
    <w:rsid w:val="009C6417"/>
    <w:pPr>
      <w:numPr>
        <w:ilvl w:val="6"/>
        <w:numId w:val="16"/>
      </w:numPr>
    </w:pPr>
  </w:style>
  <w:style w:type="paragraph" w:customStyle="1" w:styleId="Pointivx">
    <w:name w:val="Point ivx"/>
    <w:basedOn w:val="Normal"/>
    <w:rsid w:val="009C6417"/>
    <w:pPr>
      <w:numPr>
        <w:numId w:val="17"/>
      </w:numPr>
    </w:pPr>
  </w:style>
  <w:style w:type="paragraph" w:customStyle="1" w:styleId="Pointivx1">
    <w:name w:val="Point ivx (1)"/>
    <w:basedOn w:val="Normal"/>
    <w:rsid w:val="009C6417"/>
    <w:pPr>
      <w:numPr>
        <w:ilvl w:val="1"/>
        <w:numId w:val="17"/>
      </w:numPr>
    </w:pPr>
  </w:style>
  <w:style w:type="paragraph" w:customStyle="1" w:styleId="Pointivx2">
    <w:name w:val="Point ivx (2)"/>
    <w:basedOn w:val="Normal"/>
    <w:rsid w:val="009C6417"/>
    <w:pPr>
      <w:numPr>
        <w:ilvl w:val="2"/>
        <w:numId w:val="17"/>
      </w:numPr>
    </w:pPr>
  </w:style>
  <w:style w:type="paragraph" w:customStyle="1" w:styleId="Pointivx3">
    <w:name w:val="Point ivx (3)"/>
    <w:basedOn w:val="Normal"/>
    <w:rsid w:val="009C6417"/>
    <w:pPr>
      <w:numPr>
        <w:ilvl w:val="3"/>
        <w:numId w:val="17"/>
      </w:numPr>
    </w:pPr>
  </w:style>
  <w:style w:type="paragraph" w:customStyle="1" w:styleId="Pointivx4">
    <w:name w:val="Point ivx (4)"/>
    <w:basedOn w:val="Normal"/>
    <w:rsid w:val="009C6417"/>
    <w:pPr>
      <w:numPr>
        <w:ilvl w:val="4"/>
        <w:numId w:val="17"/>
      </w:numPr>
    </w:pPr>
  </w:style>
  <w:style w:type="paragraph" w:customStyle="1" w:styleId="Bullet">
    <w:name w:val="Bullet"/>
    <w:basedOn w:val="Normal"/>
    <w:rsid w:val="009C6417"/>
    <w:pPr>
      <w:numPr>
        <w:numId w:val="11"/>
      </w:numPr>
    </w:pPr>
  </w:style>
  <w:style w:type="paragraph" w:customStyle="1" w:styleId="Bullet1">
    <w:name w:val="Bullet 1"/>
    <w:basedOn w:val="Normal"/>
    <w:rsid w:val="009C6417"/>
    <w:pPr>
      <w:numPr>
        <w:numId w:val="12"/>
      </w:numPr>
    </w:pPr>
  </w:style>
  <w:style w:type="paragraph" w:customStyle="1" w:styleId="Bullet2">
    <w:name w:val="Bullet 2"/>
    <w:basedOn w:val="Normal"/>
    <w:rsid w:val="009C6417"/>
    <w:pPr>
      <w:numPr>
        <w:numId w:val="13"/>
      </w:numPr>
    </w:pPr>
  </w:style>
  <w:style w:type="paragraph" w:customStyle="1" w:styleId="Bullet3">
    <w:name w:val="Bullet 3"/>
    <w:basedOn w:val="Normal"/>
    <w:rsid w:val="009C6417"/>
    <w:pPr>
      <w:numPr>
        <w:numId w:val="14"/>
      </w:numPr>
    </w:pPr>
  </w:style>
  <w:style w:type="paragraph" w:customStyle="1" w:styleId="Bullet4">
    <w:name w:val="Bullet 4"/>
    <w:basedOn w:val="Normal"/>
    <w:rsid w:val="009C6417"/>
    <w:pPr>
      <w:numPr>
        <w:numId w:val="15"/>
      </w:numPr>
    </w:pPr>
  </w:style>
  <w:style w:type="paragraph" w:customStyle="1" w:styleId="Dash">
    <w:name w:val="Dash"/>
    <w:basedOn w:val="Normal"/>
    <w:rsid w:val="009C6417"/>
  </w:style>
  <w:style w:type="paragraph" w:customStyle="1" w:styleId="Dash1">
    <w:name w:val="Dash 1"/>
    <w:basedOn w:val="Normal"/>
    <w:rsid w:val="009C6417"/>
    <w:pPr>
      <w:numPr>
        <w:numId w:val="2"/>
      </w:numPr>
    </w:pPr>
  </w:style>
  <w:style w:type="paragraph" w:customStyle="1" w:styleId="Dash2">
    <w:name w:val="Dash 2"/>
    <w:basedOn w:val="Normal"/>
    <w:rsid w:val="009C6417"/>
    <w:pPr>
      <w:numPr>
        <w:numId w:val="3"/>
      </w:numPr>
    </w:pPr>
  </w:style>
  <w:style w:type="paragraph" w:customStyle="1" w:styleId="Dash3">
    <w:name w:val="Dash 3"/>
    <w:basedOn w:val="Normal"/>
    <w:rsid w:val="009C6417"/>
    <w:pPr>
      <w:numPr>
        <w:numId w:val="4"/>
      </w:numPr>
    </w:pPr>
  </w:style>
  <w:style w:type="paragraph" w:customStyle="1" w:styleId="Dash4">
    <w:name w:val="Dash 4"/>
    <w:basedOn w:val="Normal"/>
    <w:rsid w:val="009C6417"/>
    <w:pPr>
      <w:numPr>
        <w:numId w:val="5"/>
      </w:numPr>
    </w:pPr>
  </w:style>
  <w:style w:type="paragraph" w:customStyle="1" w:styleId="DashEqual">
    <w:name w:val="Dash Equal"/>
    <w:basedOn w:val="Dash"/>
    <w:rsid w:val="009C6417"/>
    <w:pPr>
      <w:numPr>
        <w:numId w:val="6"/>
      </w:numPr>
    </w:pPr>
  </w:style>
  <w:style w:type="paragraph" w:customStyle="1" w:styleId="DashEqual1">
    <w:name w:val="Dash Equal 1"/>
    <w:basedOn w:val="Dash1"/>
    <w:rsid w:val="009C6417"/>
    <w:pPr>
      <w:numPr>
        <w:numId w:val="7"/>
      </w:numPr>
    </w:pPr>
  </w:style>
  <w:style w:type="paragraph" w:customStyle="1" w:styleId="DashEqual2">
    <w:name w:val="Dash Equal 2"/>
    <w:basedOn w:val="Dash2"/>
    <w:rsid w:val="009C6417"/>
    <w:pPr>
      <w:numPr>
        <w:numId w:val="8"/>
      </w:numPr>
    </w:pPr>
  </w:style>
  <w:style w:type="paragraph" w:customStyle="1" w:styleId="DashEqual3">
    <w:name w:val="Dash Equal 3"/>
    <w:basedOn w:val="Dash3"/>
    <w:rsid w:val="009C6417"/>
    <w:pPr>
      <w:numPr>
        <w:numId w:val="9"/>
      </w:numPr>
    </w:pPr>
  </w:style>
  <w:style w:type="paragraph" w:customStyle="1" w:styleId="DashEqual4">
    <w:name w:val="Dash Equal 4"/>
    <w:basedOn w:val="Dash4"/>
    <w:rsid w:val="009C6417"/>
    <w:pPr>
      <w:numPr>
        <w:numId w:val="10"/>
      </w:numPr>
    </w:pPr>
  </w:style>
  <w:style w:type="character" w:customStyle="1" w:styleId="Marker">
    <w:name w:val="Marker"/>
    <w:basedOn w:val="DefaultParagraphFont"/>
    <w:rsid w:val="009C6417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C6417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9C6417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9C6417"/>
    <w:pPr>
      <w:numPr>
        <w:numId w:val="20"/>
      </w:numPr>
    </w:pPr>
  </w:style>
  <w:style w:type="paragraph" w:customStyle="1" w:styleId="Heading123">
    <w:name w:val="Heading 123"/>
    <w:basedOn w:val="HeadingLeft"/>
    <w:next w:val="Normal"/>
    <w:rsid w:val="009C6417"/>
    <w:pPr>
      <w:numPr>
        <w:numId w:val="19"/>
      </w:numPr>
    </w:pPr>
  </w:style>
  <w:style w:type="paragraph" w:customStyle="1" w:styleId="HeadingABC">
    <w:name w:val="Heading ABC"/>
    <w:basedOn w:val="HeadingLeft"/>
    <w:next w:val="Normal"/>
    <w:rsid w:val="009C6417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9C6417"/>
    <w:pPr>
      <w:jc w:val="center"/>
    </w:pPr>
  </w:style>
  <w:style w:type="paragraph" w:customStyle="1" w:styleId="Jardin">
    <w:name w:val="Jardin"/>
    <w:basedOn w:val="Normal"/>
    <w:rsid w:val="009C6417"/>
    <w:pPr>
      <w:spacing w:before="200" w:after="0" w:line="240" w:lineRule="auto"/>
      <w:jc w:val="center"/>
    </w:pPr>
  </w:style>
  <w:style w:type="paragraph" w:customStyle="1" w:styleId="Amendment">
    <w:name w:val="Amendment"/>
    <w:basedOn w:val="Normal"/>
    <w:next w:val="Normal"/>
    <w:rsid w:val="009C6417"/>
    <w:rPr>
      <w:i/>
      <w:u w:val="single"/>
    </w:rPr>
  </w:style>
  <w:style w:type="paragraph" w:customStyle="1" w:styleId="AmendmentList">
    <w:name w:val="Amendment List"/>
    <w:basedOn w:val="Normal"/>
    <w:rsid w:val="009C6417"/>
    <w:pPr>
      <w:ind w:left="2268" w:hanging="2268"/>
    </w:pPr>
  </w:style>
  <w:style w:type="paragraph" w:customStyle="1" w:styleId="ReplyRE">
    <w:name w:val="Reply RE"/>
    <w:basedOn w:val="Normal"/>
    <w:next w:val="Normal"/>
    <w:rsid w:val="009C6417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9C6417"/>
    <w:rPr>
      <w:b/>
    </w:rPr>
  </w:style>
  <w:style w:type="paragraph" w:customStyle="1" w:styleId="Annex">
    <w:name w:val="Annex"/>
    <w:basedOn w:val="Normal"/>
    <w:next w:val="Normal"/>
    <w:rsid w:val="009C6417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9C6417"/>
    <w:pPr>
      <w:tabs>
        <w:tab w:val="center" w:pos="7087"/>
      </w:tabs>
      <w:contextualSpacing/>
    </w:pPr>
  </w:style>
  <w:style w:type="paragraph" w:customStyle="1" w:styleId="NotDeclassified">
    <w:name w:val="Not Declassified"/>
    <w:basedOn w:val="Normal"/>
    <w:next w:val="Normal"/>
    <w:rsid w:val="009C6417"/>
    <w:rPr>
      <w:b/>
      <w:shd w:val="clear" w:color="auto" w:fill="CCCCCC"/>
    </w:rPr>
  </w:style>
  <w:style w:type="character" w:customStyle="1" w:styleId="NotDeclassifiedCharacter">
    <w:name w:val="Not Declassified Character"/>
    <w:basedOn w:val="DefaultParagraphFont"/>
    <w:rsid w:val="009C6417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al"/>
    <w:next w:val="Normal"/>
    <w:rsid w:val="009C6417"/>
    <w:pPr>
      <w:spacing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675E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75E"/>
    <w:rPr>
      <w:rFonts w:ascii="Times New Roman" w:hAnsi="Times New Roman" w:cs="Times New Roman"/>
      <w:sz w:val="20"/>
      <w:szCs w:val="20"/>
      <w:lang w:val="cs-CZ"/>
    </w:rPr>
  </w:style>
  <w:style w:type="character" w:styleId="EndnoteReference">
    <w:name w:val="endnote reference"/>
    <w:basedOn w:val="DefaultParagraphFont"/>
    <w:uiPriority w:val="99"/>
    <w:semiHidden/>
    <w:unhideWhenUsed/>
    <w:rsid w:val="001B675E"/>
    <w:rPr>
      <w:vertAlign w:val="superscript"/>
    </w:rPr>
  </w:style>
  <w:style w:type="paragraph" w:customStyle="1" w:styleId="HeaderCouncilLarge">
    <w:name w:val="Header Council Large"/>
    <w:basedOn w:val="Normal"/>
    <w:link w:val="HeaderCouncilLargeChar"/>
    <w:rsid w:val="00643D71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sid w:val="00643D71"/>
    <w:rPr>
      <w:rFonts w:ascii="Times New Roman" w:hAnsi="Times New Roman" w:cs="Times New Roman"/>
      <w:sz w:val="24"/>
    </w:rPr>
  </w:style>
  <w:style w:type="character" w:customStyle="1" w:styleId="HeaderCouncilLargeChar">
    <w:name w:val="Header Council Large Char"/>
    <w:basedOn w:val="TechnicalBlockChar"/>
    <w:link w:val="HeaderCouncilLarge"/>
    <w:rsid w:val="00643D71"/>
    <w:rPr>
      <w:rFonts w:ascii="Times New Roman" w:hAnsi="Times New Roman" w:cs="Times New Roman"/>
      <w:sz w:val="2"/>
    </w:rPr>
  </w:style>
  <w:style w:type="paragraph" w:customStyle="1" w:styleId="FooterText">
    <w:name w:val="Footer Text"/>
    <w:basedOn w:val="Normal"/>
    <w:rsid w:val="00643D71"/>
    <w:pPr>
      <w:spacing w:before="0" w:after="0" w:line="240" w:lineRule="auto"/>
    </w:pPr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643D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130B"/>
    <w:rPr>
      <w:color w:val="0000FF" w:themeColor="hyperlink"/>
      <w:u w:val="single"/>
    </w:rPr>
  </w:style>
  <w:style w:type="paragraph" w:customStyle="1" w:styleId="CharCharChar">
    <w:name w:val="Char Char Char"/>
    <w:basedOn w:val="Normal"/>
    <w:link w:val="FootnoteReference"/>
    <w:uiPriority w:val="99"/>
    <w:rsid w:val="0018130B"/>
    <w:pPr>
      <w:spacing w:before="0" w:after="160" w:line="240" w:lineRule="exact"/>
    </w:pPr>
    <w:rPr>
      <w:rFonts w:asciiTheme="minorHAnsi" w:hAnsiTheme="minorHAnsi" w:cstheme="minorBidi"/>
      <w:b/>
      <w:sz w:val="22"/>
      <w:vertAlign w:val="superscript"/>
    </w:rPr>
  </w:style>
  <w:style w:type="character" w:customStyle="1" w:styleId="markedcontent">
    <w:name w:val="markedcontent"/>
    <w:basedOn w:val="DefaultParagraphFont"/>
    <w:rsid w:val="0018130B"/>
  </w:style>
  <w:style w:type="paragraph" w:styleId="ListParagraph">
    <w:name w:val="List Paragraph"/>
    <w:basedOn w:val="Normal"/>
    <w:uiPriority w:val="34"/>
    <w:qFormat/>
    <w:rsid w:val="001813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F9F"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F9F"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9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9F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e.int/en/web/eurimages" TargetMode="External"/><Relationship Id="rId1" Type="http://schemas.openxmlformats.org/officeDocument/2006/relationships/hyperlink" Target="https://agorateka.eu/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A73C-3261-41DE-8DC1-9DF36473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DW_COUNCIL.dotm</Template>
  <TotalTime>0</TotalTime>
  <Pages>13</Pages>
  <Words>2689</Words>
  <Characters>17294</Characters>
  <Application>Microsoft Office Word</Application>
  <DocSecurity>0</DocSecurity>
  <Lines>293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KAJDY Monika</dc:creator>
  <cp:keywords/>
  <dc:description/>
  <cp:lastModifiedBy>KUNCOVA Romana</cp:lastModifiedBy>
  <cp:revision>2</cp:revision>
  <dcterms:created xsi:type="dcterms:W3CDTF">2022-03-23T14:05:00Z</dcterms:created>
  <dcterms:modified xsi:type="dcterms:W3CDTF">2022-03-23T14:05:00Z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DocuWrite 4.6.2, Build 20211105</vt:lpwstr>
  </property>
  <property fmtid="{D5CDD505-2E9C-101B-9397-08002B2CF9AE}" pid="3" name="Created using">
    <vt:lpwstr>DocuWrite 4.6.2, Build 20211105</vt:lpwstr>
  </property>
</Properties>
</file>