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A0B" w:rsidRPr="003F2AC7" w:rsidRDefault="003F2AC7" w:rsidP="003F2AC7">
      <w:pPr>
        <w:pStyle w:val="TechnicalBlock"/>
        <w:ind w:left="-1134" w:right="-1134"/>
      </w:pPr>
      <w:bookmarkStart w:id="0" w:name="LW_BM_COVERPAGE"/>
      <w:bookmarkStart w:id="1"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11892/21.&#10;Subject Codes: CULT 73 SUSTDEV 116 SOC 517 ENV 644 CLIMA 244 RECH 403 ECO 94 EDUC 296 JEUN 94 IND 243 TEXT 1 TRANS 558 ENER 385 GENDER 86 DIGIT 124 TOUR 72 RELEX 770.&#10;Heading: PRŮVODNÍ POZNÁMKA.&#10;Originator: Martine DEPREZOVÁ, ředitelka, za generální tajemnici Evropské komise.&#10;Recipient: Jeppe TRANHOLM-MIKKELSEN, generální tajemník Rady Evropské unie.&#10;Subject: SDĚLENÍ KOMISE EVROPSKÉMU PARLAMENTU, RADĚ, EVROPSKÉMU HOSPODÁŘSKÉMU A SOCIÁLNÍMU VÝBORU  A VÝBORU REGIONŮ  Nový evropský Bauhaus Estetika, udržitelnost, pospolitost.&#10;Commission Document Number: COM(2021) 573 final.&#10;Preceeding Document Number: Not Set.&#10;Location: Brusel.&#10;Date: 16. září 2021.&#10;Interinstitutional Files: Not Set.&#10;Institutional Framework: Rada Evropské unie.&#10;Language: CS.&#10;Distribution Code: PUBLIC.&#10;GUID: 5216880096393959316_0" style="width:568.5pt;height:475.5pt">
            <v:imagedata r:id="rId11" o:title=""/>
          </v:shape>
        </w:pict>
      </w:r>
      <w:bookmarkEnd w:id="1"/>
    </w:p>
    <w:p w:rsidR="00D04A0B" w:rsidRDefault="00D04A0B" w:rsidP="003F2AC7">
      <w:pPr>
        <w:pStyle w:val="EntText"/>
        <w:spacing w:before="480"/>
      </w:pPr>
      <w:bookmarkStart w:id="2" w:name="_GoBack"/>
      <w:bookmarkEnd w:id="2"/>
      <w:r w:rsidRPr="00D04A0B">
        <w:t xml:space="preserve">Delegace naleznou v příloze dokument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3F2AC7" w:rsidRPr="003F2AC7">
        <w:instrText>COM(2021) 573 final</w:instrText>
      </w:r>
      <w:r>
        <w:instrText xml:space="preserve">" </w:instrText>
      </w:r>
      <w:r>
        <w:fldChar w:fldCharType="separate"/>
      </w:r>
      <w:r w:rsidR="003F2AC7" w:rsidRPr="003F2AC7">
        <w:t>COM(2021) 573 final</w:t>
      </w:r>
      <w:r>
        <w:fldChar w:fldCharType="end"/>
      </w:r>
      <w:r w:rsidRPr="00D04A0B">
        <w:t>.</w:t>
      </w:r>
    </w:p>
    <w:p w:rsidR="00D04A0B" w:rsidRDefault="00D04A0B" w:rsidP="00D04A0B">
      <w:pPr>
        <w:pStyle w:val="Lignefinal"/>
      </w:pPr>
    </w:p>
    <w:p w:rsidR="00D04A0B" w:rsidRDefault="00D04A0B" w:rsidP="003F2AC7">
      <w:pPr>
        <w:pStyle w:val="pj"/>
        <w:spacing w:before="120"/>
      </w:pPr>
      <w:r w:rsidRPr="00D04A0B">
        <w:t xml:space="preserve">Příloha: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3F2AC7" w:rsidRPr="003F2AC7">
        <w:instrText>COM(2021) 573 final</w:instrText>
      </w:r>
      <w:r>
        <w:instrText xml:space="preserve">" </w:instrText>
      </w:r>
      <w:r>
        <w:fldChar w:fldCharType="separate"/>
      </w:r>
      <w:r w:rsidR="003F2AC7" w:rsidRPr="003F2AC7">
        <w:t>COM(2021) 573 final</w:t>
      </w:r>
      <w:r>
        <w:fldChar w:fldCharType="end"/>
      </w:r>
    </w:p>
    <w:p w:rsidR="00D04A0B" w:rsidRDefault="00D04A0B" w:rsidP="00D04A0B">
      <w:pPr>
        <w:rPr>
          <w:noProof/>
        </w:rPr>
        <w:sectPr w:rsidR="00D04A0B" w:rsidSect="00D04A0B">
          <w:headerReference w:type="even" r:id="rId12"/>
          <w:headerReference w:type="default" r:id="rId13"/>
          <w:footerReference w:type="even" r:id="rId14"/>
          <w:footerReference w:type="default" r:id="rId15"/>
          <w:headerReference w:type="first" r:id="rId16"/>
          <w:footerReference w:type="first" r:id="rId17"/>
          <w:pgSz w:w="11906" w:h="16838"/>
          <w:pgMar w:top="624" w:right="1134" w:bottom="1134" w:left="1134" w:header="567" w:footer="567" w:gutter="0"/>
          <w:pgNumType w:start="0"/>
          <w:cols w:space="720"/>
          <w:titlePg/>
          <w:docGrid w:linePitch="360"/>
        </w:sectPr>
      </w:pPr>
    </w:p>
    <w:p w:rsidR="002F1537" w:rsidRDefault="00C232D2">
      <w:pPr>
        <w:pStyle w:val="Pagedecouverture"/>
        <w:rPr>
          <w:noProof/>
        </w:rPr>
      </w:pPr>
      <w:r>
        <w:rPr>
          <w:noProof/>
        </w:rPr>
        <w:lastRenderedPageBreak/>
        <w:pict>
          <v:shape id="_x0000_i1026" type="#_x0000_t75" alt="10B28EFB-1E84-47B9-AD31-1138AF6A06D9" style="width:455.25pt;height:366pt">
            <v:imagedata r:id="rId18" o:title=""/>
          </v:shape>
        </w:pict>
      </w:r>
    </w:p>
    <w:bookmarkEnd w:id="0"/>
    <w:p w:rsidR="002F1537" w:rsidRDefault="002F1537">
      <w:pPr>
        <w:spacing w:line="276" w:lineRule="auto"/>
        <w:jc w:val="both"/>
        <w:rPr>
          <w:rFonts w:ascii="EC Square Sans Pro Light" w:hAnsi="EC Square Sans Pro Light"/>
          <w:noProof/>
          <w:sz w:val="24"/>
        </w:rPr>
        <w:sectPr w:rsidR="002F1537">
          <w:headerReference w:type="even" r:id="rId19"/>
          <w:headerReference w:type="default" r:id="rId20"/>
          <w:footerReference w:type="even" r:id="rId21"/>
          <w:footerReference w:type="default" r:id="rId22"/>
          <w:headerReference w:type="first" r:id="rId23"/>
          <w:footerReference w:type="first" r:id="rId24"/>
          <w:pgSz w:w="11906" w:h="16838"/>
          <w:pgMar w:top="1134" w:right="1417" w:bottom="1134" w:left="1417" w:header="709" w:footer="709" w:gutter="0"/>
          <w:pgNumType w:start="0"/>
          <w:cols w:space="720"/>
          <w:docGrid w:linePitch="360"/>
        </w:sectPr>
      </w:pPr>
    </w:p>
    <w:sdt>
      <w:sdtPr>
        <w:rPr>
          <w:rFonts w:asciiTheme="minorHAnsi" w:eastAsiaTheme="minorHAnsi" w:hAnsiTheme="minorHAnsi" w:cstheme="minorBidi"/>
          <w:noProof/>
          <w:color w:val="auto"/>
          <w:sz w:val="22"/>
          <w:szCs w:val="22"/>
        </w:rPr>
        <w:id w:val="20983277"/>
        <w:docPartObj>
          <w:docPartGallery w:val="Table of Contents"/>
          <w:docPartUnique/>
        </w:docPartObj>
      </w:sdtPr>
      <w:sdtEndPr>
        <w:rPr>
          <w:b/>
          <w:bCs/>
        </w:rPr>
      </w:sdtEndPr>
      <w:sdtContent>
        <w:p w:rsidR="002F1537" w:rsidRDefault="00D04A0B">
          <w:pPr>
            <w:pStyle w:val="TOCHeading"/>
            <w:rPr>
              <w:noProof/>
            </w:rPr>
          </w:pPr>
          <w:r>
            <w:rPr>
              <w:noProof/>
            </w:rPr>
            <w:t>Contents</w:t>
          </w:r>
        </w:p>
        <w:p w:rsidR="002F1537" w:rsidRDefault="00D04A0B">
          <w:pPr>
            <w:pStyle w:val="TOC1"/>
            <w:rPr>
              <w:rFonts w:asciiTheme="minorHAnsi" w:eastAsiaTheme="minorEastAsia" w:hAnsiTheme="minorHAnsi"/>
              <w:lang w:val="en-US"/>
            </w:rPr>
          </w:pPr>
          <w:r>
            <w:fldChar w:fldCharType="begin"/>
          </w:r>
          <w:r>
            <w:instrText xml:space="preserve"> TOC \o "1-3" \h \z \u </w:instrText>
          </w:r>
          <w:r>
            <w:fldChar w:fldCharType="separate"/>
          </w:r>
          <w:hyperlink w:anchor="_Toc82678663" w:history="1">
            <w:r>
              <w:rPr>
                <w:rStyle w:val="Hyperlink"/>
              </w:rPr>
              <w:t>1.</w:t>
            </w:r>
            <w:r>
              <w:rPr>
                <w:rFonts w:asciiTheme="minorHAnsi" w:eastAsiaTheme="minorEastAsia" w:hAnsiTheme="minorHAnsi"/>
                <w:lang w:val="en-US"/>
              </w:rPr>
              <w:tab/>
            </w:r>
            <w:r>
              <w:rPr>
                <w:rStyle w:val="Hyperlink"/>
              </w:rPr>
              <w:t>Úvod</w:t>
            </w:r>
            <w:r>
              <w:rPr>
                <w:webHidden/>
              </w:rPr>
              <w:tab/>
              <w:t>2</w:t>
            </w:r>
          </w:hyperlink>
        </w:p>
        <w:p w:rsidR="002F1537" w:rsidRDefault="003F2AC7">
          <w:pPr>
            <w:pStyle w:val="TOC1"/>
            <w:rPr>
              <w:rFonts w:asciiTheme="minorHAnsi" w:eastAsiaTheme="minorEastAsia" w:hAnsiTheme="minorHAnsi"/>
              <w:lang w:val="en-US"/>
            </w:rPr>
          </w:pPr>
          <w:hyperlink w:anchor="_Toc82678664" w:history="1">
            <w:r w:rsidR="00D04A0B">
              <w:rPr>
                <w:rStyle w:val="Hyperlink"/>
              </w:rPr>
              <w:t>2.</w:t>
            </w:r>
            <w:r w:rsidR="00D04A0B">
              <w:rPr>
                <w:rFonts w:asciiTheme="minorHAnsi" w:eastAsiaTheme="minorEastAsia" w:hAnsiTheme="minorHAnsi"/>
                <w:lang w:val="en-US"/>
              </w:rPr>
              <w:tab/>
            </w:r>
            <w:r w:rsidR="00D04A0B">
              <w:rPr>
                <w:rStyle w:val="Hyperlink"/>
              </w:rPr>
              <w:t>Navrhujeme společně: transformační projekt realizovaný všemi pro všechny</w:t>
            </w:r>
            <w:r w:rsidR="00D04A0B">
              <w:rPr>
                <w:webHidden/>
              </w:rPr>
              <w:tab/>
              <w:t>3</w:t>
            </w:r>
          </w:hyperlink>
        </w:p>
        <w:p w:rsidR="002F1537" w:rsidRDefault="003F2AC7">
          <w:pPr>
            <w:pStyle w:val="TOC1"/>
            <w:rPr>
              <w:rFonts w:asciiTheme="minorHAnsi" w:eastAsiaTheme="minorEastAsia" w:hAnsiTheme="minorHAnsi"/>
              <w:lang w:val="en-US"/>
            </w:rPr>
          </w:pPr>
          <w:hyperlink w:anchor="_Toc82678665" w:history="1">
            <w:r w:rsidR="00D04A0B">
              <w:rPr>
                <w:rStyle w:val="Hyperlink"/>
              </w:rPr>
              <w:t>3.</w:t>
            </w:r>
            <w:r w:rsidR="00D04A0B">
              <w:rPr>
                <w:rFonts w:asciiTheme="minorHAnsi" w:eastAsiaTheme="minorEastAsia" w:hAnsiTheme="minorHAnsi"/>
                <w:lang w:val="en-US"/>
              </w:rPr>
              <w:tab/>
            </w:r>
            <w:r w:rsidR="00D04A0B">
              <w:rPr>
                <w:rStyle w:val="Hyperlink"/>
              </w:rPr>
              <w:t>Podoba Nového evropského Bauhausu</w:t>
            </w:r>
            <w:r w:rsidR="00D04A0B">
              <w:rPr>
                <w:webHidden/>
              </w:rPr>
              <w:tab/>
              <w:t>4</w:t>
            </w:r>
          </w:hyperlink>
        </w:p>
        <w:p w:rsidR="002F1537" w:rsidRDefault="003F2AC7">
          <w:pPr>
            <w:pStyle w:val="TOC2"/>
            <w:tabs>
              <w:tab w:val="left" w:pos="880"/>
              <w:tab w:val="right" w:leader="dot" w:pos="9016"/>
            </w:tabs>
            <w:rPr>
              <w:rFonts w:eastAsiaTheme="minorEastAsia"/>
              <w:noProof/>
              <w:lang w:val="en-US"/>
            </w:rPr>
          </w:pPr>
          <w:hyperlink w:anchor="_Toc82678666" w:history="1">
            <w:r w:rsidR="00D04A0B">
              <w:rPr>
                <w:rStyle w:val="Hyperlink"/>
                <w:noProof/>
              </w:rPr>
              <w:t>3.1.</w:t>
            </w:r>
            <w:r w:rsidR="00D04A0B">
              <w:rPr>
                <w:rFonts w:eastAsiaTheme="minorEastAsia"/>
                <w:noProof/>
                <w:lang w:val="en-US"/>
              </w:rPr>
              <w:tab/>
            </w:r>
            <w:r w:rsidR="00D04A0B">
              <w:rPr>
                <w:rStyle w:val="Hyperlink"/>
                <w:noProof/>
              </w:rPr>
              <w:t>Od historického hnutí k Novému evropskému Bauhausu</w:t>
            </w:r>
            <w:r w:rsidR="00D04A0B">
              <w:rPr>
                <w:noProof/>
                <w:webHidden/>
              </w:rPr>
              <w:tab/>
              <w:t>4</w:t>
            </w:r>
          </w:hyperlink>
        </w:p>
        <w:p w:rsidR="002F1537" w:rsidRDefault="003F2AC7">
          <w:pPr>
            <w:pStyle w:val="TOC2"/>
            <w:tabs>
              <w:tab w:val="left" w:pos="880"/>
              <w:tab w:val="right" w:leader="dot" w:pos="9016"/>
            </w:tabs>
            <w:rPr>
              <w:rFonts w:eastAsiaTheme="minorEastAsia"/>
              <w:noProof/>
              <w:lang w:val="en-US"/>
            </w:rPr>
          </w:pPr>
          <w:hyperlink w:anchor="_Toc82678667" w:history="1">
            <w:r w:rsidR="00D04A0B">
              <w:rPr>
                <w:rStyle w:val="Hyperlink"/>
                <w:noProof/>
              </w:rPr>
              <w:t>3.2.</w:t>
            </w:r>
            <w:r w:rsidR="00D04A0B">
              <w:rPr>
                <w:rFonts w:eastAsiaTheme="minorEastAsia"/>
                <w:noProof/>
                <w:lang w:val="en-US"/>
              </w:rPr>
              <w:tab/>
            </w:r>
            <w:r w:rsidR="00D04A0B">
              <w:rPr>
                <w:rStyle w:val="Hyperlink"/>
                <w:noProof/>
              </w:rPr>
              <w:t>Tři hlavní zásady</w:t>
            </w:r>
            <w:r w:rsidR="00D04A0B">
              <w:rPr>
                <w:noProof/>
                <w:webHidden/>
              </w:rPr>
              <w:tab/>
              <w:t>5</w:t>
            </w:r>
          </w:hyperlink>
        </w:p>
        <w:p w:rsidR="002F1537" w:rsidRDefault="003F2AC7">
          <w:pPr>
            <w:pStyle w:val="TOC3"/>
            <w:tabs>
              <w:tab w:val="left" w:pos="1320"/>
              <w:tab w:val="right" w:leader="dot" w:pos="9016"/>
            </w:tabs>
            <w:rPr>
              <w:rFonts w:eastAsiaTheme="minorEastAsia"/>
              <w:noProof/>
              <w:lang w:val="en-US"/>
            </w:rPr>
          </w:pPr>
          <w:hyperlink w:anchor="_Toc82678668" w:history="1">
            <w:r w:rsidR="00D04A0B">
              <w:rPr>
                <w:rStyle w:val="Hyperlink"/>
                <w:noProof/>
              </w:rPr>
              <w:t>3.2.1.</w:t>
            </w:r>
            <w:r w:rsidR="00D04A0B">
              <w:rPr>
                <w:rFonts w:eastAsiaTheme="minorEastAsia"/>
                <w:noProof/>
                <w:lang w:val="en-US"/>
              </w:rPr>
              <w:tab/>
            </w:r>
            <w:r w:rsidR="00D04A0B">
              <w:rPr>
                <w:rStyle w:val="Hyperlink"/>
                <w:noProof/>
              </w:rPr>
              <w:t>Víceúrovňový přístup: od globálního k místnímu</w:t>
            </w:r>
            <w:r w:rsidR="00D04A0B">
              <w:rPr>
                <w:noProof/>
                <w:webHidden/>
              </w:rPr>
              <w:tab/>
              <w:t>5</w:t>
            </w:r>
          </w:hyperlink>
        </w:p>
        <w:p w:rsidR="002F1537" w:rsidRDefault="003F2AC7">
          <w:pPr>
            <w:pStyle w:val="TOC3"/>
            <w:tabs>
              <w:tab w:val="left" w:pos="1320"/>
              <w:tab w:val="right" w:leader="dot" w:pos="9016"/>
            </w:tabs>
            <w:rPr>
              <w:rFonts w:eastAsiaTheme="minorEastAsia"/>
              <w:noProof/>
              <w:lang w:val="en-US"/>
            </w:rPr>
          </w:pPr>
          <w:hyperlink w:anchor="_Toc82678669" w:history="1">
            <w:r w:rsidR="00D04A0B">
              <w:rPr>
                <w:rStyle w:val="Hyperlink"/>
                <w:noProof/>
              </w:rPr>
              <w:t>3.2.2.</w:t>
            </w:r>
            <w:r w:rsidR="00D04A0B">
              <w:rPr>
                <w:rFonts w:eastAsiaTheme="minorEastAsia"/>
                <w:noProof/>
                <w:lang w:val="en-US"/>
              </w:rPr>
              <w:tab/>
            </w:r>
            <w:r w:rsidR="00D04A0B">
              <w:rPr>
                <w:rStyle w:val="Hyperlink"/>
                <w:noProof/>
              </w:rPr>
              <w:t>Participativní přístup</w:t>
            </w:r>
            <w:r w:rsidR="00D04A0B">
              <w:rPr>
                <w:noProof/>
                <w:webHidden/>
              </w:rPr>
              <w:tab/>
              <w:t>5</w:t>
            </w:r>
          </w:hyperlink>
        </w:p>
        <w:p w:rsidR="002F1537" w:rsidRDefault="003F2AC7">
          <w:pPr>
            <w:pStyle w:val="TOC3"/>
            <w:tabs>
              <w:tab w:val="left" w:pos="1320"/>
              <w:tab w:val="right" w:leader="dot" w:pos="9016"/>
            </w:tabs>
            <w:rPr>
              <w:rFonts w:eastAsiaTheme="minorEastAsia"/>
              <w:noProof/>
              <w:lang w:val="en-US"/>
            </w:rPr>
          </w:pPr>
          <w:hyperlink w:anchor="_Toc82678670" w:history="1">
            <w:r w:rsidR="00D04A0B">
              <w:rPr>
                <w:rStyle w:val="Hyperlink"/>
                <w:noProof/>
              </w:rPr>
              <w:t>3.2.3.</w:t>
            </w:r>
            <w:r w:rsidR="00D04A0B">
              <w:rPr>
                <w:rFonts w:eastAsiaTheme="minorEastAsia"/>
                <w:noProof/>
                <w:lang w:val="en-US"/>
              </w:rPr>
              <w:tab/>
            </w:r>
            <w:r w:rsidR="00D04A0B">
              <w:rPr>
                <w:rStyle w:val="Hyperlink"/>
                <w:noProof/>
              </w:rPr>
              <w:t>Transdisciplinární přístup</w:t>
            </w:r>
            <w:r w:rsidR="00D04A0B">
              <w:rPr>
                <w:noProof/>
                <w:webHidden/>
              </w:rPr>
              <w:tab/>
              <w:t>5</w:t>
            </w:r>
          </w:hyperlink>
        </w:p>
        <w:p w:rsidR="002F1537" w:rsidRDefault="003F2AC7">
          <w:pPr>
            <w:pStyle w:val="TOC2"/>
            <w:tabs>
              <w:tab w:val="left" w:pos="880"/>
              <w:tab w:val="right" w:leader="dot" w:pos="9016"/>
            </w:tabs>
            <w:rPr>
              <w:rFonts w:eastAsiaTheme="minorEastAsia"/>
              <w:noProof/>
              <w:lang w:val="en-US"/>
            </w:rPr>
          </w:pPr>
          <w:hyperlink w:anchor="_Toc82678671" w:history="1">
            <w:r w:rsidR="00D04A0B">
              <w:rPr>
                <w:rStyle w:val="Hyperlink"/>
                <w:noProof/>
              </w:rPr>
              <w:t>3.3.</w:t>
            </w:r>
            <w:r w:rsidR="00D04A0B">
              <w:rPr>
                <w:rFonts w:eastAsiaTheme="minorEastAsia"/>
                <w:noProof/>
                <w:lang w:val="en-US"/>
              </w:rPr>
              <w:tab/>
            </w:r>
            <w:r w:rsidR="00D04A0B">
              <w:rPr>
                <w:rStyle w:val="Hyperlink"/>
                <w:noProof/>
              </w:rPr>
              <w:t>Tematické osy transformační cesty</w:t>
            </w:r>
            <w:r w:rsidR="00D04A0B">
              <w:rPr>
                <w:noProof/>
                <w:webHidden/>
              </w:rPr>
              <w:tab/>
              <w:t>6</w:t>
            </w:r>
          </w:hyperlink>
        </w:p>
        <w:p w:rsidR="002F1537" w:rsidRDefault="003F2AC7">
          <w:pPr>
            <w:pStyle w:val="TOC3"/>
            <w:tabs>
              <w:tab w:val="left" w:pos="1320"/>
              <w:tab w:val="right" w:leader="dot" w:pos="9016"/>
            </w:tabs>
            <w:rPr>
              <w:rFonts w:eastAsiaTheme="minorEastAsia"/>
              <w:noProof/>
              <w:lang w:val="en-US"/>
            </w:rPr>
          </w:pPr>
          <w:hyperlink w:anchor="_Toc82678672" w:history="1">
            <w:r w:rsidR="00D04A0B">
              <w:rPr>
                <w:rStyle w:val="Hyperlink"/>
                <w:noProof/>
              </w:rPr>
              <w:t>3.3.1.</w:t>
            </w:r>
            <w:r w:rsidR="00D04A0B">
              <w:rPr>
                <w:rFonts w:eastAsiaTheme="minorEastAsia"/>
                <w:noProof/>
                <w:lang w:val="en-US"/>
              </w:rPr>
              <w:tab/>
            </w:r>
            <w:r w:rsidR="00D04A0B">
              <w:rPr>
                <w:rStyle w:val="Hyperlink"/>
                <w:noProof/>
              </w:rPr>
              <w:t>Návrat k přírodě</w:t>
            </w:r>
            <w:r w:rsidR="00D04A0B">
              <w:rPr>
                <w:noProof/>
                <w:webHidden/>
              </w:rPr>
              <w:tab/>
              <w:t>6</w:t>
            </w:r>
          </w:hyperlink>
        </w:p>
        <w:p w:rsidR="002F1537" w:rsidRDefault="003F2AC7">
          <w:pPr>
            <w:pStyle w:val="TOC3"/>
            <w:tabs>
              <w:tab w:val="left" w:pos="1320"/>
              <w:tab w:val="right" w:leader="dot" w:pos="9016"/>
            </w:tabs>
            <w:rPr>
              <w:rFonts w:eastAsiaTheme="minorEastAsia"/>
              <w:noProof/>
              <w:lang w:val="en-US"/>
            </w:rPr>
          </w:pPr>
          <w:hyperlink w:anchor="_Toc82678673" w:history="1">
            <w:r w:rsidR="00D04A0B">
              <w:rPr>
                <w:rStyle w:val="Hyperlink"/>
                <w:noProof/>
              </w:rPr>
              <w:t>3.3.2.</w:t>
            </w:r>
            <w:r w:rsidR="00D04A0B">
              <w:rPr>
                <w:rFonts w:eastAsiaTheme="minorEastAsia"/>
                <w:noProof/>
                <w:lang w:val="en-US"/>
              </w:rPr>
              <w:tab/>
            </w:r>
            <w:r w:rsidR="00D04A0B">
              <w:rPr>
                <w:rStyle w:val="Hyperlink"/>
                <w:noProof/>
              </w:rPr>
              <w:t>Znovu získat pocit sounáležitosti</w:t>
            </w:r>
            <w:r w:rsidR="00D04A0B">
              <w:rPr>
                <w:noProof/>
                <w:webHidden/>
              </w:rPr>
              <w:tab/>
              <w:t>7</w:t>
            </w:r>
          </w:hyperlink>
        </w:p>
        <w:p w:rsidR="002F1537" w:rsidRDefault="003F2AC7">
          <w:pPr>
            <w:pStyle w:val="TOC3"/>
            <w:tabs>
              <w:tab w:val="left" w:pos="1320"/>
              <w:tab w:val="right" w:leader="dot" w:pos="9016"/>
            </w:tabs>
            <w:rPr>
              <w:rFonts w:eastAsiaTheme="minorEastAsia"/>
              <w:noProof/>
              <w:lang w:val="en-US"/>
            </w:rPr>
          </w:pPr>
          <w:hyperlink w:anchor="_Toc82678674" w:history="1">
            <w:r w:rsidR="00D04A0B">
              <w:rPr>
                <w:rStyle w:val="Hyperlink"/>
                <w:noProof/>
              </w:rPr>
              <w:t>3.3.3.</w:t>
            </w:r>
            <w:r w:rsidR="00D04A0B">
              <w:rPr>
                <w:rFonts w:eastAsiaTheme="minorEastAsia"/>
                <w:noProof/>
                <w:lang w:val="en-US"/>
              </w:rPr>
              <w:tab/>
            </w:r>
            <w:r w:rsidR="00D04A0B">
              <w:rPr>
                <w:rStyle w:val="Hyperlink"/>
                <w:noProof/>
              </w:rPr>
              <w:t>Upřednostnění nejpotřebnějších míst a osob</w:t>
            </w:r>
            <w:r w:rsidR="00D04A0B">
              <w:rPr>
                <w:noProof/>
                <w:webHidden/>
              </w:rPr>
              <w:tab/>
              <w:t>8</w:t>
            </w:r>
          </w:hyperlink>
        </w:p>
        <w:p w:rsidR="002F1537" w:rsidRDefault="003F2AC7">
          <w:pPr>
            <w:pStyle w:val="TOC3"/>
            <w:tabs>
              <w:tab w:val="left" w:pos="1320"/>
              <w:tab w:val="right" w:leader="dot" w:pos="9016"/>
            </w:tabs>
            <w:rPr>
              <w:rFonts w:eastAsiaTheme="minorEastAsia"/>
              <w:noProof/>
              <w:lang w:val="en-US"/>
            </w:rPr>
          </w:pPr>
          <w:hyperlink w:anchor="_Toc82678675" w:history="1">
            <w:r w:rsidR="00D04A0B">
              <w:rPr>
                <w:rStyle w:val="Hyperlink"/>
                <w:noProof/>
              </w:rPr>
              <w:t>3.3.4.</w:t>
            </w:r>
            <w:r w:rsidR="00D04A0B">
              <w:rPr>
                <w:rFonts w:eastAsiaTheme="minorEastAsia"/>
                <w:noProof/>
                <w:lang w:val="en-US"/>
              </w:rPr>
              <w:tab/>
            </w:r>
            <w:r w:rsidR="00D04A0B">
              <w:rPr>
                <w:rStyle w:val="Hyperlink"/>
                <w:noProof/>
              </w:rPr>
              <w:t>V průmyslovém ekosystému je nutno uvažovat dlouhodobě, s přihlédnutím k životním cyklům.</w:t>
            </w:r>
            <w:r w:rsidR="00D04A0B">
              <w:rPr>
                <w:noProof/>
                <w:webHidden/>
              </w:rPr>
              <w:tab/>
              <w:t>9</w:t>
            </w:r>
          </w:hyperlink>
        </w:p>
        <w:p w:rsidR="002F1537" w:rsidRDefault="003F2AC7">
          <w:pPr>
            <w:pStyle w:val="TOC1"/>
            <w:rPr>
              <w:rFonts w:asciiTheme="minorHAnsi" w:eastAsiaTheme="minorEastAsia" w:hAnsiTheme="minorHAnsi"/>
              <w:lang w:val="en-US"/>
            </w:rPr>
          </w:pPr>
          <w:hyperlink w:anchor="_Toc82678676" w:history="1">
            <w:r w:rsidR="00D04A0B">
              <w:rPr>
                <w:rStyle w:val="Hyperlink"/>
              </w:rPr>
              <w:t>4.</w:t>
            </w:r>
            <w:r w:rsidR="00D04A0B">
              <w:rPr>
                <w:rFonts w:asciiTheme="minorHAnsi" w:eastAsiaTheme="minorEastAsia" w:hAnsiTheme="minorHAnsi"/>
                <w:lang w:val="en-US"/>
              </w:rPr>
              <w:tab/>
            </w:r>
            <w:r w:rsidR="00D04A0B">
              <w:rPr>
                <w:rStyle w:val="Hyperlink"/>
              </w:rPr>
              <w:t>Realizace Nového evropského</w:t>
            </w:r>
            <w:r w:rsidR="00D04A0B">
              <w:rPr>
                <w:rStyle w:val="Hyperlink"/>
                <w:rFonts w:ascii="Calibri" w:hAnsi="Calibri"/>
              </w:rPr>
              <w:t xml:space="preserve"> </w:t>
            </w:r>
            <w:r w:rsidR="00D04A0B">
              <w:rPr>
                <w:rStyle w:val="Hyperlink"/>
              </w:rPr>
              <w:t>Bauhausu</w:t>
            </w:r>
            <w:r w:rsidR="00D04A0B">
              <w:rPr>
                <w:webHidden/>
              </w:rPr>
              <w:tab/>
              <w:t>10</w:t>
            </w:r>
          </w:hyperlink>
        </w:p>
        <w:p w:rsidR="002F1537" w:rsidRDefault="003F2AC7">
          <w:pPr>
            <w:pStyle w:val="TOC2"/>
            <w:tabs>
              <w:tab w:val="left" w:pos="880"/>
              <w:tab w:val="right" w:leader="dot" w:pos="9016"/>
            </w:tabs>
            <w:rPr>
              <w:rFonts w:eastAsiaTheme="minorEastAsia"/>
              <w:noProof/>
              <w:lang w:val="en-US"/>
            </w:rPr>
          </w:pPr>
          <w:hyperlink w:anchor="_Toc82678677" w:history="1">
            <w:r w:rsidR="00D04A0B">
              <w:rPr>
                <w:rStyle w:val="Hyperlink"/>
                <w:noProof/>
              </w:rPr>
              <w:t>4.1.</w:t>
            </w:r>
            <w:r w:rsidR="00D04A0B">
              <w:rPr>
                <w:rFonts w:eastAsiaTheme="minorEastAsia"/>
                <w:noProof/>
                <w:lang w:val="en-US"/>
              </w:rPr>
              <w:tab/>
            </w:r>
            <w:r w:rsidR="00D04A0B">
              <w:rPr>
                <w:rStyle w:val="Hyperlink"/>
                <w:noProof/>
              </w:rPr>
              <w:t>Spolupráce s komunitou Nového evropského Bauhausu: Laboratoř</w:t>
            </w:r>
            <w:r w:rsidR="00D04A0B">
              <w:rPr>
                <w:rStyle w:val="Hyperlink"/>
                <w:rFonts w:ascii="Calibri" w:hAnsi="Calibri"/>
                <w:noProof/>
              </w:rPr>
              <w:t xml:space="preserve"> </w:t>
            </w:r>
            <w:r w:rsidR="00D04A0B">
              <w:rPr>
                <w:rStyle w:val="Hyperlink"/>
                <w:noProof/>
              </w:rPr>
              <w:t>NEB</w:t>
            </w:r>
            <w:r w:rsidR="00D04A0B">
              <w:rPr>
                <w:noProof/>
                <w:webHidden/>
              </w:rPr>
              <w:tab/>
              <w:t>10</w:t>
            </w:r>
          </w:hyperlink>
        </w:p>
        <w:p w:rsidR="002F1537" w:rsidRDefault="003F2AC7">
          <w:pPr>
            <w:pStyle w:val="TOC2"/>
            <w:tabs>
              <w:tab w:val="left" w:pos="880"/>
              <w:tab w:val="right" w:leader="dot" w:pos="9016"/>
            </w:tabs>
            <w:rPr>
              <w:rFonts w:eastAsiaTheme="minorEastAsia"/>
              <w:noProof/>
              <w:lang w:val="en-US"/>
            </w:rPr>
          </w:pPr>
          <w:hyperlink w:anchor="_Toc82678678" w:history="1">
            <w:r w:rsidR="00D04A0B">
              <w:rPr>
                <w:rStyle w:val="Hyperlink"/>
                <w:noProof/>
              </w:rPr>
              <w:t>4.2.</w:t>
            </w:r>
            <w:r w:rsidR="00D04A0B">
              <w:rPr>
                <w:rFonts w:eastAsiaTheme="minorEastAsia"/>
                <w:noProof/>
                <w:lang w:val="en-US"/>
              </w:rPr>
              <w:tab/>
            </w:r>
            <w:r w:rsidR="00D04A0B">
              <w:rPr>
                <w:rStyle w:val="Hyperlink"/>
                <w:noProof/>
              </w:rPr>
              <w:t>Třístupňová transformace</w:t>
            </w:r>
            <w:r w:rsidR="00D04A0B">
              <w:rPr>
                <w:noProof/>
                <w:webHidden/>
              </w:rPr>
              <w:tab/>
              <w:t>11</w:t>
            </w:r>
          </w:hyperlink>
        </w:p>
        <w:p w:rsidR="002F1537" w:rsidRDefault="003F2AC7">
          <w:pPr>
            <w:pStyle w:val="TOC3"/>
            <w:tabs>
              <w:tab w:val="left" w:pos="1320"/>
              <w:tab w:val="right" w:leader="dot" w:pos="9016"/>
            </w:tabs>
            <w:rPr>
              <w:rFonts w:eastAsiaTheme="minorEastAsia"/>
              <w:noProof/>
              <w:lang w:val="en-US"/>
            </w:rPr>
          </w:pPr>
          <w:hyperlink w:anchor="_Toc82678679" w:history="1">
            <w:r w:rsidR="00D04A0B">
              <w:rPr>
                <w:rStyle w:val="Hyperlink"/>
                <w:noProof/>
              </w:rPr>
              <w:t>4.2.1.</w:t>
            </w:r>
            <w:r w:rsidR="00D04A0B">
              <w:rPr>
                <w:rFonts w:eastAsiaTheme="minorEastAsia"/>
                <w:noProof/>
                <w:lang w:val="en-US"/>
              </w:rPr>
              <w:tab/>
            </w:r>
            <w:r w:rsidR="00D04A0B">
              <w:rPr>
                <w:rStyle w:val="Hyperlink"/>
                <w:noProof/>
              </w:rPr>
              <w:t>Transformace na konkrétních místech v praxi</w:t>
            </w:r>
            <w:r w:rsidR="00D04A0B">
              <w:rPr>
                <w:noProof/>
                <w:webHidden/>
              </w:rPr>
              <w:tab/>
              <w:t>12</w:t>
            </w:r>
          </w:hyperlink>
        </w:p>
        <w:p w:rsidR="002F1537" w:rsidRDefault="003F2AC7">
          <w:pPr>
            <w:pStyle w:val="TOC3"/>
            <w:tabs>
              <w:tab w:val="left" w:pos="1320"/>
              <w:tab w:val="right" w:leader="dot" w:pos="9016"/>
            </w:tabs>
            <w:rPr>
              <w:rFonts w:eastAsiaTheme="minorEastAsia"/>
              <w:noProof/>
              <w:lang w:val="en-US"/>
            </w:rPr>
          </w:pPr>
          <w:hyperlink w:anchor="_Toc82678680" w:history="1">
            <w:r w:rsidR="00D04A0B">
              <w:rPr>
                <w:rStyle w:val="Hyperlink"/>
                <w:noProof/>
              </w:rPr>
              <w:t>4.2.2.</w:t>
            </w:r>
            <w:r w:rsidR="00D04A0B">
              <w:rPr>
                <w:rFonts w:eastAsiaTheme="minorEastAsia"/>
                <w:noProof/>
                <w:lang w:val="en-US"/>
              </w:rPr>
              <w:tab/>
            </w:r>
            <w:r w:rsidR="00D04A0B">
              <w:rPr>
                <w:rStyle w:val="Hyperlink"/>
                <w:noProof/>
              </w:rPr>
              <w:t>Transformace prostředí umožňujícího inovace</w:t>
            </w:r>
            <w:r w:rsidR="00D04A0B">
              <w:rPr>
                <w:noProof/>
                <w:webHidden/>
              </w:rPr>
              <w:tab/>
              <w:t>14</w:t>
            </w:r>
          </w:hyperlink>
        </w:p>
        <w:p w:rsidR="002F1537" w:rsidRDefault="003F2AC7">
          <w:pPr>
            <w:pStyle w:val="TOC3"/>
            <w:tabs>
              <w:tab w:val="left" w:pos="1320"/>
              <w:tab w:val="right" w:leader="dot" w:pos="9016"/>
            </w:tabs>
            <w:rPr>
              <w:rFonts w:eastAsiaTheme="minorEastAsia"/>
              <w:noProof/>
              <w:lang w:val="en-US"/>
            </w:rPr>
          </w:pPr>
          <w:hyperlink w:anchor="_Toc82678681" w:history="1">
            <w:r w:rsidR="00D04A0B">
              <w:rPr>
                <w:rStyle w:val="Hyperlink"/>
                <w:noProof/>
              </w:rPr>
              <w:t>4.2.3.</w:t>
            </w:r>
            <w:r w:rsidR="00D04A0B">
              <w:rPr>
                <w:rFonts w:eastAsiaTheme="minorEastAsia"/>
                <w:noProof/>
                <w:lang w:val="en-US"/>
              </w:rPr>
              <w:tab/>
            </w:r>
            <w:r w:rsidR="00D04A0B">
              <w:rPr>
                <w:rStyle w:val="Hyperlink"/>
                <w:noProof/>
              </w:rPr>
              <w:t>Propagace nových hodnot</w:t>
            </w:r>
            <w:r w:rsidR="00D04A0B">
              <w:rPr>
                <w:noProof/>
                <w:webHidden/>
              </w:rPr>
              <w:tab/>
              <w:t>15</w:t>
            </w:r>
          </w:hyperlink>
        </w:p>
        <w:p w:rsidR="002F1537" w:rsidRDefault="003F2AC7">
          <w:pPr>
            <w:pStyle w:val="TOC1"/>
            <w:rPr>
              <w:rFonts w:asciiTheme="minorHAnsi" w:eastAsiaTheme="minorEastAsia" w:hAnsiTheme="minorHAnsi"/>
              <w:lang w:val="en-US"/>
            </w:rPr>
          </w:pPr>
          <w:hyperlink w:anchor="_Toc82678682" w:history="1">
            <w:r w:rsidR="00D04A0B">
              <w:rPr>
                <w:rStyle w:val="Hyperlink"/>
              </w:rPr>
              <w:t>5.</w:t>
            </w:r>
            <w:r w:rsidR="00D04A0B">
              <w:rPr>
                <w:rFonts w:asciiTheme="minorHAnsi" w:eastAsiaTheme="minorEastAsia" w:hAnsiTheme="minorHAnsi"/>
                <w:lang w:val="en-US"/>
              </w:rPr>
              <w:tab/>
            </w:r>
            <w:r w:rsidR="00D04A0B">
              <w:rPr>
                <w:rStyle w:val="Hyperlink"/>
              </w:rPr>
              <w:t>Další kroky</w:t>
            </w:r>
            <w:r w:rsidR="00D04A0B">
              <w:rPr>
                <w:webHidden/>
              </w:rPr>
              <w:tab/>
              <w:t>17</w:t>
            </w:r>
          </w:hyperlink>
        </w:p>
        <w:p w:rsidR="002F1537" w:rsidRDefault="00D04A0B">
          <w:pPr>
            <w:rPr>
              <w:noProof/>
            </w:rPr>
          </w:pPr>
          <w:r>
            <w:rPr>
              <w:b/>
              <w:bCs/>
              <w:noProof/>
            </w:rPr>
            <w:fldChar w:fldCharType="end"/>
          </w:r>
        </w:p>
      </w:sdtContent>
    </w:sdt>
    <w:p w:rsidR="002F1537" w:rsidRDefault="002F1537">
      <w:pPr>
        <w:pStyle w:val="Heading1"/>
        <w:numPr>
          <w:ilvl w:val="0"/>
          <w:numId w:val="0"/>
        </w:numPr>
        <w:spacing w:line="276" w:lineRule="auto"/>
        <w:ind w:left="482"/>
        <w:rPr>
          <w:rFonts w:ascii="EC Square Sans Pro Light" w:hAnsi="EC Square Sans Pro Light"/>
          <w:noProof/>
        </w:rPr>
      </w:pPr>
    </w:p>
    <w:p w:rsidR="002F1537" w:rsidRDefault="00D04A0B">
      <w:pPr>
        <w:spacing w:line="276" w:lineRule="auto"/>
        <w:jc w:val="both"/>
        <w:rPr>
          <w:rFonts w:ascii="EC Square Sans Pro Light" w:hAnsi="EC Square Sans Pro Light"/>
          <w:noProof/>
        </w:rPr>
      </w:pPr>
      <w:r>
        <w:rPr>
          <w:noProof/>
        </w:rPr>
        <w:br w:type="page"/>
      </w:r>
    </w:p>
    <w:p w:rsidR="002F1537" w:rsidRDefault="00D04A0B">
      <w:pPr>
        <w:pStyle w:val="Heading1"/>
        <w:spacing w:line="276" w:lineRule="auto"/>
        <w:rPr>
          <w:rFonts w:ascii="EC Square Sans Pro Light" w:hAnsi="EC Square Sans Pro Light"/>
          <w:noProof/>
        </w:rPr>
      </w:pPr>
      <w:bookmarkStart w:id="4" w:name="_Toc82678663"/>
      <w:r>
        <w:rPr>
          <w:rFonts w:ascii="EC Square Sans Pro Light" w:hAnsi="EC Square Sans Pro Light"/>
          <w:noProof/>
        </w:rPr>
        <w:lastRenderedPageBreak/>
        <w:t>Úvod</w:t>
      </w:r>
      <w:bookmarkEnd w:id="4"/>
      <w:r>
        <w:rPr>
          <w:rFonts w:ascii="EC Square Sans Pro Light" w:hAnsi="EC Square Sans Pro Light"/>
          <w:noProof/>
        </w:rPr>
        <w:t xml:space="preserve"> </w:t>
      </w:r>
    </w:p>
    <w:p w:rsidR="002F1537" w:rsidRDefault="002F1537">
      <w:pPr>
        <w:rPr>
          <w:noProof/>
        </w:rPr>
      </w:pP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Iniciativa Nový evropský Bauhaus ztělesňuje jeden z cílů EU, jímž je vytváření estetických, udržitelných a inkluzivních míst, výrobků a způsobů života. Díky tomu, že podporuje nový životní styl, v němž se stylový design snoubí s udržitelností, pomáhá tato iniciativa urychlit ekologickou transformaci v různých hospodářských odvětvích, jako je stavebnictví, nábytkářství, móda, a v našich společnostech, a také v dalších oblastech našeho každodenního života. </w:t>
      </w:r>
    </w:p>
    <w:p w:rsidR="002F1537" w:rsidRDefault="00D04A0B">
      <w:pPr>
        <w:spacing w:line="276" w:lineRule="auto"/>
        <w:jc w:val="both"/>
        <w:rPr>
          <w:rFonts w:ascii="EC Square Sans Pro Light" w:hAnsi="EC Square Sans Pro Light" w:cs="Arial"/>
          <w:noProof/>
        </w:rPr>
      </w:pPr>
      <w:r>
        <w:rPr>
          <w:rFonts w:ascii="EC Square Sans Pro Light" w:hAnsi="EC Square Sans Pro Light"/>
          <w:noProof/>
          <w:sz w:val="24"/>
          <w:szCs w:val="24"/>
        </w:rPr>
        <w:t xml:space="preserve">Cílem této iniciativy je poskytnout všem občanům přístup k oběhovému zboží s nižšími uhlíkovými emisemi, které podporuje obnovu přírody a chrání biologickou rozmanitost. </w:t>
      </w:r>
    </w:p>
    <w:p w:rsidR="002F1537" w:rsidRDefault="00D04A0B">
      <w:pPr>
        <w:spacing w:line="276" w:lineRule="auto"/>
        <w:jc w:val="both"/>
        <w:rPr>
          <w:rFonts w:ascii="EC Square Sans Pro Light" w:hAnsi="EC Square Sans Pro Light" w:cs="Arial"/>
          <w:noProof/>
          <w:sz w:val="24"/>
          <w:szCs w:val="24"/>
        </w:rPr>
      </w:pPr>
      <w:r>
        <w:rPr>
          <w:rFonts w:ascii="EC Square Sans Pro Light" w:hAnsi="EC Square Sans Pro Light"/>
          <w:noProof/>
          <w:sz w:val="24"/>
          <w:szCs w:val="24"/>
        </w:rPr>
        <w:t xml:space="preserve">Nový evropský Bauhaus (NEB) je projekt přinášející naději a nové perspektivy. Zelené dohodě pro Evropu dodává kulturní a kreativní rozměr, čímž podporuje udržitelnost inovací, technologií a celého hospodářství. Přináší výhody ekologické transformace díky hmatatelným zkušenostem na místní úrovni. Zlepšuje náš každodenní život. </w:t>
      </w:r>
    </w:p>
    <w:p w:rsidR="002F1537" w:rsidRDefault="00D04A0B">
      <w:pPr>
        <w:spacing w:after="150" w:line="276" w:lineRule="auto"/>
        <w:jc w:val="both"/>
        <w:rPr>
          <w:rFonts w:ascii="EC Square Sans Pro Light" w:hAnsi="EC Square Sans Pro Light" w:cs="Arial"/>
          <w:noProof/>
          <w:sz w:val="24"/>
          <w:szCs w:val="24"/>
        </w:rPr>
      </w:pPr>
      <w:r>
        <w:rPr>
          <w:rFonts w:ascii="EC Square Sans Pro Light" w:hAnsi="EC Square Sans Pro Light"/>
          <w:noProof/>
          <w:sz w:val="24"/>
          <w:szCs w:val="24"/>
        </w:rPr>
        <w:t xml:space="preserve">Všechny tyto záměry lze uskutečnit pouze na základě participativního přístupu a spolupráce lidí z různých prostředí a oblastí. Proto Komise tento projekt zahájila šestiměsíční fází společného návrhu, během níž mohl kdokoli přispět svou myšlenkou, vizí, příkladem či výzvou, jimiž by se iniciativa NEB měla zabývat.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Toto sdělení představuje koncepci Nového evropského Bauhausu, jež vznikla na základě zjištění z fáze společného návrhu, a stanoví další kroky. Další podrobnosti o procesu společného návrhu jsou k dispozici v příloze 1.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V zájmu dosažení cílů Nového evropského Bauhausu bude Komise dále vytvářet </w:t>
      </w:r>
      <w:r>
        <w:rPr>
          <w:rFonts w:ascii="EC Square Sans Pro Light" w:hAnsi="EC Square Sans Pro Light"/>
          <w:b/>
          <w:noProof/>
          <w:sz w:val="24"/>
          <w:szCs w:val="24"/>
        </w:rPr>
        <w:t>hnutí</w:t>
      </w:r>
      <w:r>
        <w:rPr>
          <w:rFonts w:ascii="EC Square Sans Pro Light" w:hAnsi="EC Square Sans Pro Light"/>
          <w:noProof/>
          <w:sz w:val="24"/>
          <w:szCs w:val="24"/>
        </w:rPr>
        <w:t xml:space="preserve"> zainteresovaných osob a organizací. Pro účely provádění Komise </w:t>
      </w:r>
      <w:r>
        <w:rPr>
          <w:rFonts w:ascii="EC Square Sans Pro Light" w:hAnsi="EC Square Sans Pro Light"/>
          <w:b/>
          <w:noProof/>
          <w:sz w:val="24"/>
          <w:szCs w:val="24"/>
        </w:rPr>
        <w:t>kombinuje příslušné iniciativy EU a navrhuje soubor nových opatření a možností financování</w:t>
      </w:r>
      <w:r>
        <w:rPr>
          <w:rFonts w:ascii="EC Square Sans Pro Light" w:hAnsi="EC Square Sans Pro Light"/>
          <w:noProof/>
          <w:sz w:val="24"/>
          <w:szCs w:val="24"/>
        </w:rPr>
        <w:t>, které jsou shrnuty v kapitole 5 tohoto sdělení. Ty zahrnují například:</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vytvoření „Laboratoře NEB“, jež umožní růst komunity NEB a přípravu politických opatření</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počáteční financování transformačních projektů NEB v členských státech EU</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financování projektů sociálního bydlení, které se řídí hodnotami NEB</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nový přístup k vlastní strategii Komise v oblasti výstavby</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spoluvytváření plánů ekologické transformace pro stavební a textilní ekosystém</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výzvy k zakládání startupů a k zahájení občanských iniciativ</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každoroční festival a cena NEB</w:t>
      </w:r>
    </w:p>
    <w:p w:rsidR="002F1537" w:rsidRDefault="00D04A0B">
      <w:pPr>
        <w:pStyle w:val="ListParagraph"/>
        <w:numPr>
          <w:ilvl w:val="0"/>
          <w:numId w:val="41"/>
        </w:numPr>
        <w:spacing w:after="150" w:line="276" w:lineRule="auto"/>
        <w:rPr>
          <w:rFonts w:ascii="EC Square Sans Pro Light" w:hAnsi="EC Square Sans Pro Light" w:cs="Times New Roman"/>
          <w:noProof/>
          <w:szCs w:val="24"/>
        </w:rPr>
      </w:pPr>
      <w:r>
        <w:rPr>
          <w:rFonts w:ascii="EC Square Sans Pro Light" w:hAnsi="EC Square Sans Pro Light"/>
          <w:noProof/>
          <w:szCs w:val="24"/>
        </w:rPr>
        <w:t>NEB jako téma projektu eTwinning a soutěže DiscoverEU 2022</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K potřebným změnám nedojde ze dne na den. Nový evropský Bauhaus však </w:t>
      </w:r>
      <w:r>
        <w:rPr>
          <w:rFonts w:ascii="EC Square Sans Pro Light" w:hAnsi="EC Square Sans Pro Light"/>
          <w:b/>
          <w:noProof/>
          <w:sz w:val="24"/>
          <w:szCs w:val="24"/>
        </w:rPr>
        <w:t>vytvoří prostor pro zkoumání a testování</w:t>
      </w:r>
      <w:r>
        <w:rPr>
          <w:rFonts w:ascii="EC Square Sans Pro Light" w:hAnsi="EC Square Sans Pro Light"/>
          <w:noProof/>
          <w:sz w:val="24"/>
          <w:szCs w:val="24"/>
        </w:rPr>
        <w:t xml:space="preserve"> politiky, financování a dalších nástrojů, jež umožní navrhování a realizaci projektů, které zlepší každodenní život všem generacím. </w:t>
      </w:r>
    </w:p>
    <w:p w:rsidR="002F1537" w:rsidRDefault="00D04A0B">
      <w:pPr>
        <w:pStyle w:val="Heading1"/>
        <w:spacing w:line="276" w:lineRule="auto"/>
        <w:rPr>
          <w:rFonts w:ascii="EC Square Sans Pro Light" w:hAnsi="EC Square Sans Pro Light"/>
          <w:noProof/>
        </w:rPr>
      </w:pPr>
      <w:bookmarkStart w:id="5" w:name="_Toc82678664"/>
      <w:r>
        <w:rPr>
          <w:rFonts w:ascii="EC Square Sans Pro Light" w:hAnsi="EC Square Sans Pro Light"/>
          <w:noProof/>
        </w:rPr>
        <w:t>Navrhujeme společně: transformační projekt realizovaný všemi pro všechny</w:t>
      </w:r>
      <w:bookmarkEnd w:id="5"/>
      <w:r>
        <w:rPr>
          <w:rFonts w:ascii="EC Square Sans Pro Light" w:hAnsi="EC Square Sans Pro Light"/>
          <w:noProof/>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V prvním kroku tohoto participativního projektu se Komise v rámci fáze společného návrhu obrátila na občanskou společnost a zúčastněné strany. Poté, co předsedkyně Ursula von der Leyenová v září 2020 iniciativu představila</w:t>
      </w:r>
      <w:r>
        <w:rPr>
          <w:rStyle w:val="FootnoteReference"/>
          <w:rFonts w:ascii="EC Square Sans Pro Light" w:hAnsi="EC Square Sans Pro Light" w:cs="Times New Roman"/>
          <w:noProof/>
          <w:sz w:val="24"/>
          <w:szCs w:val="24"/>
        </w:rPr>
        <w:footnoteReference w:id="2"/>
      </w:r>
      <w:r>
        <w:rPr>
          <w:rFonts w:ascii="EC Square Sans Pro Light" w:hAnsi="EC Square Sans Pro Light"/>
          <w:noProof/>
          <w:sz w:val="24"/>
          <w:szCs w:val="24"/>
        </w:rPr>
        <w:t xml:space="preserve">, fungovala tato </w:t>
      </w:r>
      <w:r>
        <w:rPr>
          <w:rFonts w:ascii="EC Square Sans Pro Light" w:hAnsi="EC Square Sans Pro Light"/>
          <w:b/>
          <w:noProof/>
          <w:sz w:val="24"/>
          <w:szCs w:val="24"/>
        </w:rPr>
        <w:t>fáze společného návrhu</w:t>
      </w:r>
      <w:r>
        <w:rPr>
          <w:rFonts w:ascii="EC Square Sans Pro Light" w:hAnsi="EC Square Sans Pro Light"/>
          <w:noProof/>
          <w:sz w:val="24"/>
          <w:szCs w:val="24"/>
        </w:rPr>
        <w:t xml:space="preserve"> jako otevřená debata, při níž se kdokoli mohl vyjádřit k tomu, jak by Nový evropský Bauhaus měl vypadat, jaké výzvy by měl řešit, a podělit se o nápady a odborné znalosti ohledně realizace</w:t>
      </w:r>
      <w:r>
        <w:rPr>
          <w:rStyle w:val="FootnoteReference"/>
          <w:rFonts w:ascii="EC Square Sans Pro Light" w:hAnsi="EC Square Sans Pro Light" w:cs="Times New Roman"/>
          <w:noProof/>
          <w:sz w:val="24"/>
          <w:szCs w:val="24"/>
        </w:rPr>
        <w:footnoteReference w:id="3"/>
      </w:r>
      <w:r>
        <w:rPr>
          <w:rFonts w:ascii="EC Square Sans Pro Light" w:hAnsi="EC Square Sans Pro Light"/>
          <w:noProof/>
          <w:sz w:val="24"/>
          <w:szCs w:val="24"/>
        </w:rPr>
        <w:t>. Koncepce Nového evropského Bauhausu vychází z různých druhů vstupů získaných během této fáze.</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Během procesu společného návrhu mohli zájemci, organizace, politické orgány a společnosti pořádat akce, diskuse a workshopy. K šíření povědomí o myšlence iniciativy a o jejích aktivitách přispěli oficiální </w:t>
      </w:r>
      <w:r>
        <w:rPr>
          <w:rFonts w:ascii="EC Square Sans Pro Light" w:hAnsi="EC Square Sans Pro Light"/>
          <w:b/>
          <w:noProof/>
          <w:sz w:val="24"/>
          <w:szCs w:val="24"/>
        </w:rPr>
        <w:t>partneři Nového evropského Bauhausu</w:t>
      </w:r>
      <w:r>
        <w:rPr>
          <w:rStyle w:val="FootnoteReference"/>
          <w:rFonts w:ascii="EC Square Sans Pro Light" w:hAnsi="EC Square Sans Pro Light" w:cs="Times New Roman"/>
          <w:b/>
          <w:noProof/>
          <w:sz w:val="24"/>
          <w:szCs w:val="24"/>
        </w:rPr>
        <w:footnoteReference w:id="4"/>
      </w:r>
      <w:r>
        <w:rPr>
          <w:rFonts w:ascii="EC Square Sans Pro Light" w:hAnsi="EC Square Sans Pro Light"/>
          <w:noProof/>
          <w:sz w:val="24"/>
          <w:szCs w:val="24"/>
        </w:rPr>
        <w:t xml:space="preserve">. Dále vznikl také </w:t>
      </w:r>
      <w:r>
        <w:rPr>
          <w:rFonts w:ascii="EC Square Sans Pro Light" w:hAnsi="EC Square Sans Pro Light"/>
          <w:b/>
          <w:noProof/>
          <w:sz w:val="24"/>
          <w:szCs w:val="24"/>
        </w:rPr>
        <w:t>kulatý stůl pro Nový evropský Bauhaus na vysoké úrovni</w:t>
      </w:r>
      <w:r>
        <w:rPr>
          <w:rFonts w:ascii="EC Square Sans Pro Light" w:hAnsi="EC Square Sans Pro Light"/>
          <w:noProof/>
          <w:sz w:val="24"/>
          <w:szCs w:val="24"/>
        </w:rPr>
        <w:t xml:space="preserve"> složený z osmnácti teoretiků a odborníků z praxe, jejichž úkolem je pravidelně poskytovat zpětnou vazbu pro tuto iniciativu</w:t>
      </w:r>
      <w:r>
        <w:rPr>
          <w:rStyle w:val="FootnoteReference"/>
          <w:rFonts w:ascii="EC Square Sans Pro Light" w:hAnsi="EC Square Sans Pro Light" w:cs="Times New Roman"/>
          <w:b/>
          <w:noProof/>
          <w:sz w:val="24"/>
          <w:szCs w:val="24"/>
        </w:rPr>
        <w:footnoteReference w:id="5"/>
      </w:r>
      <w:r>
        <w:rPr>
          <w:rFonts w:ascii="EC Square Sans Pro Light" w:hAnsi="EC Square Sans Pro Light"/>
          <w:noProof/>
          <w:sz w:val="24"/>
          <w:szCs w:val="24"/>
        </w:rPr>
        <w:t xml:space="preserve">. Vyvrcholením této globální diskuse byla vůbec první </w:t>
      </w:r>
      <w:r>
        <w:rPr>
          <w:rFonts w:ascii="EC Square Sans Pro Light" w:hAnsi="EC Square Sans Pro Light"/>
          <w:b/>
          <w:noProof/>
          <w:sz w:val="24"/>
          <w:szCs w:val="24"/>
        </w:rPr>
        <w:t>konference o Novém evropském Bauhausu pořádaná v dubnu 2021</w:t>
      </w:r>
      <w:r>
        <w:rPr>
          <w:rFonts w:ascii="EC Square Sans Pro Light" w:hAnsi="EC Square Sans Pro Light"/>
          <w:noProof/>
          <w:sz w:val="24"/>
          <w:szCs w:val="24"/>
        </w:rPr>
        <w:t xml:space="preserve">, jíž se (online) účastnilo přibližně 8 000 osob z celého světa a která zdůraznila, že je třeba, aby se hnutí propojilo v celosvětovém měřítku. </w:t>
      </w:r>
    </w:p>
    <w:p w:rsidR="002F1537" w:rsidRDefault="00D04A0B">
      <w:pPr>
        <w:spacing w:after="150" w:line="276" w:lineRule="auto"/>
        <w:jc w:val="both"/>
        <w:rPr>
          <w:rFonts w:ascii="EC Square Sans Pro Light" w:hAnsi="EC Square Sans Pro Light"/>
          <w:noProof/>
          <w:sz w:val="24"/>
        </w:rPr>
      </w:pPr>
      <w:r>
        <w:rPr>
          <w:rFonts w:ascii="EC Square Sans Pro Light" w:hAnsi="EC Square Sans Pro Light"/>
          <w:noProof/>
          <w:sz w:val="24"/>
          <w:szCs w:val="24"/>
        </w:rPr>
        <w:t>Většina činností doposud probíhala v zemích EU, zájem o iniciativu však roste i v dalších částech světa, a to jak v zemích sousedících s EU, tak například v Jižní a Severní Americe. S cílem zdůraznit globální rozměr projektu Komise výslovně pozvala také účastníky mimo EU, aby předložili své připomínky.</w:t>
      </w:r>
    </w:p>
    <w:p w:rsidR="002F1537" w:rsidRDefault="00D04A0B">
      <w:pPr>
        <w:spacing w:after="150" w:line="276" w:lineRule="auto"/>
        <w:jc w:val="both"/>
        <w:rPr>
          <w:rFonts w:ascii="EC Square Sans Pro Light" w:hAnsi="EC Square Sans Pro Light"/>
          <w:noProof/>
          <w:sz w:val="24"/>
        </w:rPr>
      </w:pPr>
      <w:r>
        <w:rPr>
          <w:rFonts w:ascii="EC Square Sans Pro Light" w:hAnsi="EC Square Sans Pro Light"/>
          <w:noProof/>
          <w:sz w:val="24"/>
          <w:lang w:val="en-GB" w:eastAsia="en-GB"/>
        </w:rPr>
        <w:drawing>
          <wp:inline distT="0" distB="0" distL="0" distR="0">
            <wp:extent cx="6187218" cy="1911350"/>
            <wp:effectExtent l="0" t="0" r="4445" b="0"/>
            <wp:docPr id="4" name="Picture 4" descr="C:\Users\baltthi\AppData\Local\Microsoft\Windows\INetCache\Content.Outlook\THI2SZOI\Timeline_Infograph_Co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tthi\AppData\Local\Microsoft\Windows\INetCache\Content.Outlook\THI2SZOI\Timeline_Infograph_Comm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4099" cy="1913476"/>
                    </a:xfrm>
                    <a:prstGeom prst="rect">
                      <a:avLst/>
                    </a:prstGeom>
                    <a:noFill/>
                    <a:ln>
                      <a:noFill/>
                    </a:ln>
                  </pic:spPr>
                </pic:pic>
              </a:graphicData>
            </a:graphic>
          </wp:inline>
        </w:drawing>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Iniciativa Nový evropský Bauhaus vyrůstá na úrodné půdě, kde jsou budovy, veřejné prostory, podniky, sociální postupy, kulturní aktivity a vzdělávací programy vzorem a inspirací pro nové nápady. Za účelem </w:t>
      </w:r>
      <w:r>
        <w:rPr>
          <w:rFonts w:ascii="EC Square Sans Pro Light" w:hAnsi="EC Square Sans Pro Light"/>
          <w:b/>
          <w:noProof/>
          <w:sz w:val="24"/>
          <w:szCs w:val="24"/>
        </w:rPr>
        <w:t>zviditelnění</w:t>
      </w:r>
      <w:r>
        <w:rPr>
          <w:rFonts w:ascii="EC Square Sans Pro Light" w:hAnsi="EC Square Sans Pro Light"/>
          <w:noProof/>
          <w:sz w:val="24"/>
          <w:szCs w:val="24"/>
        </w:rPr>
        <w:t xml:space="preserve"> těchto inspirativních příkladů a nápadů prezentovaných mladými talenty byla v rámci fáze společného návrhu poprvé udělována </w:t>
      </w:r>
      <w:r>
        <w:rPr>
          <w:rFonts w:ascii="EC Square Sans Pro Light" w:hAnsi="EC Square Sans Pro Light"/>
          <w:b/>
          <w:noProof/>
          <w:sz w:val="24"/>
          <w:szCs w:val="24"/>
        </w:rPr>
        <w:t>Cena Nového evropského Bauhausu</w:t>
      </w:r>
      <w:r>
        <w:rPr>
          <w:rStyle w:val="FootnoteReference"/>
          <w:rFonts w:ascii="EC Square Sans Pro Light" w:hAnsi="EC Square Sans Pro Light" w:cs="Times New Roman"/>
          <w:b/>
          <w:noProof/>
          <w:sz w:val="24"/>
          <w:szCs w:val="24"/>
        </w:rPr>
        <w:footnoteReference w:id="6"/>
      </w:r>
      <w:r>
        <w:rPr>
          <w:rFonts w:ascii="EC Square Sans Pro Light" w:hAnsi="EC Square Sans Pro Light"/>
          <w:noProof/>
          <w:sz w:val="24"/>
          <w:szCs w:val="24"/>
        </w:rPr>
        <w:t xml:space="preserve">. </w:t>
      </w:r>
    </w:p>
    <w:p w:rsidR="002F1537" w:rsidRDefault="002F1537">
      <w:pPr>
        <w:spacing w:after="150" w:line="276" w:lineRule="auto"/>
        <w:jc w:val="both"/>
        <w:rPr>
          <w:rFonts w:ascii="EC Square Sans Pro Light" w:hAnsi="EC Square Sans Pro Light"/>
          <w:b/>
          <w:noProof/>
          <w:sz w:val="24"/>
        </w:rPr>
      </w:pPr>
    </w:p>
    <w:p w:rsidR="002F1537" w:rsidRDefault="00D04A0B">
      <w:pPr>
        <w:pStyle w:val="Heading1"/>
        <w:spacing w:line="276" w:lineRule="auto"/>
        <w:rPr>
          <w:rFonts w:ascii="EC Square Sans Pro Light" w:hAnsi="EC Square Sans Pro Light"/>
          <w:noProof/>
        </w:rPr>
      </w:pPr>
      <w:bookmarkStart w:id="6" w:name="_Toc82678665"/>
      <w:r>
        <w:rPr>
          <w:rFonts w:ascii="EC Square Sans Pro Light" w:hAnsi="EC Square Sans Pro Light"/>
          <w:noProof/>
        </w:rPr>
        <w:t>Podoba Nového evropského Bauhausu</w:t>
      </w:r>
      <w:bookmarkEnd w:id="6"/>
    </w:p>
    <w:p w:rsidR="002F1537" w:rsidRDefault="00D04A0B">
      <w:pPr>
        <w:pStyle w:val="Heading2"/>
        <w:rPr>
          <w:noProof/>
        </w:rPr>
      </w:pPr>
      <w:bookmarkStart w:id="7" w:name="_Toc82678666"/>
      <w:r>
        <w:rPr>
          <w:noProof/>
        </w:rPr>
        <w:t>Od historického hnutí k Novému evropskému Bauhausu</w:t>
      </w:r>
      <w:bookmarkEnd w:id="7"/>
      <w:r>
        <w:rPr>
          <w:noProof/>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Vize Nového Evropského Bauhausu je založena na několika prvcích Bauhausu historického.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Původní hnutí Bauhaus, jež vzniklo roku 1919, se zrodilo v době </w:t>
      </w:r>
      <w:r>
        <w:rPr>
          <w:rFonts w:ascii="EC Square Sans Pro Light" w:hAnsi="EC Square Sans Pro Light"/>
          <w:b/>
          <w:noProof/>
          <w:sz w:val="24"/>
          <w:szCs w:val="24"/>
        </w:rPr>
        <w:t>rozsáhlé transformace</w:t>
      </w:r>
      <w:r>
        <w:rPr>
          <w:rFonts w:ascii="EC Square Sans Pro Light" w:hAnsi="EC Square Sans Pro Light"/>
          <w:noProof/>
          <w:sz w:val="24"/>
          <w:szCs w:val="24"/>
        </w:rPr>
        <w:t xml:space="preserve">, která představovala počátek moderní společenské a průmyslové éry. Jeho zakladatelé se při své práci na tuto transformaci zaměřili a hledali řešení nových výzev. Z Bauhausu se rychle stalo celosvětové kulturní hnutí, do něhož se zapojili umělci, designéři, architekti a řemeslníci. V dnešní době, kdy naše společnost opět čelí dalekosáhlé transformaci a souvisejícím výzvám, je tento </w:t>
      </w:r>
      <w:r>
        <w:rPr>
          <w:rFonts w:ascii="EC Square Sans Pro Light" w:hAnsi="EC Square Sans Pro Light"/>
          <w:b/>
          <w:noProof/>
          <w:sz w:val="24"/>
          <w:szCs w:val="24"/>
        </w:rPr>
        <w:t>transdisciplinární</w:t>
      </w:r>
      <w:r>
        <w:rPr>
          <w:rFonts w:ascii="EC Square Sans Pro Light" w:hAnsi="EC Square Sans Pro Light"/>
          <w:noProof/>
          <w:sz w:val="24"/>
          <w:szCs w:val="24"/>
        </w:rPr>
        <w:t xml:space="preserve"> přístup rovněž velmi potřebný.</w:t>
      </w:r>
    </w:p>
    <w:p w:rsidR="002F1537" w:rsidRDefault="00D04A0B">
      <w:pPr>
        <w:spacing w:after="150" w:line="276" w:lineRule="auto"/>
        <w:jc w:val="both"/>
        <w:rPr>
          <w:noProof/>
          <w:sz w:val="24"/>
          <w:szCs w:val="24"/>
        </w:rPr>
      </w:pPr>
      <w:r>
        <w:rPr>
          <w:rFonts w:ascii="EC Square Sans Pro Light" w:hAnsi="EC Square Sans Pro Light"/>
          <w:noProof/>
          <w:sz w:val="24"/>
          <w:szCs w:val="24"/>
        </w:rPr>
        <w:t xml:space="preserve">Stejně jako před sto lety je i dnes klíčová otázka </w:t>
      </w:r>
      <w:r>
        <w:rPr>
          <w:rFonts w:ascii="EC Square Sans Pro Light" w:hAnsi="EC Square Sans Pro Light"/>
          <w:b/>
          <w:noProof/>
          <w:sz w:val="24"/>
          <w:szCs w:val="24"/>
        </w:rPr>
        <w:t>inovativních materiálů</w:t>
      </w:r>
      <w:r>
        <w:rPr>
          <w:rFonts w:ascii="EC Square Sans Pro Light" w:hAnsi="EC Square Sans Pro Light"/>
          <w:noProof/>
          <w:sz w:val="24"/>
          <w:szCs w:val="24"/>
        </w:rPr>
        <w:t xml:space="preserve">. Zatímco tehdy byly řešením beton a ocel, nyní je třeba hledat přírodnější materiály z udržitelnějších zdrojů a pro všechny materiály vyvíjet nízkouhlíkové výrobní postupy. To platí jak pro stavebnictví, tak i pro odvětví módy, designu, nábytku, dopravy nebo energetiky. Trojúhelník hodnot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Nový evropský Bauhaus je založen na trojúhelníku </w:t>
      </w:r>
      <w:r>
        <w:rPr>
          <w:rFonts w:ascii="EC Square Sans Pro Light" w:hAnsi="EC Square Sans Pro Light"/>
          <w:b/>
          <w:noProof/>
          <w:sz w:val="24"/>
          <w:szCs w:val="24"/>
        </w:rPr>
        <w:t>tří základních neoddělitelných hodnot</w:t>
      </w:r>
      <w:r>
        <w:rPr>
          <w:rFonts w:ascii="EC Square Sans Pro Light" w:hAnsi="EC Square Sans Pro Light"/>
          <w:noProof/>
          <w:sz w:val="24"/>
          <w:szCs w:val="24"/>
        </w:rPr>
        <w:t>:</w:t>
      </w:r>
    </w:p>
    <w:p w:rsidR="002F1537" w:rsidRDefault="00D04A0B">
      <w:pPr>
        <w:pStyle w:val="ListParagraph"/>
        <w:numPr>
          <w:ilvl w:val="0"/>
          <w:numId w:val="3"/>
        </w:numPr>
        <w:spacing w:line="276" w:lineRule="auto"/>
        <w:rPr>
          <w:rFonts w:ascii="EC Square Sans Pro Light" w:hAnsi="EC Square Sans Pro Light" w:cs="Times New Roman"/>
          <w:noProof/>
          <w:szCs w:val="24"/>
        </w:rPr>
      </w:pPr>
      <w:r>
        <w:rPr>
          <w:rFonts w:ascii="EC Square Sans Pro Light" w:hAnsi="EC Square Sans Pro Light"/>
          <w:b/>
          <w:noProof/>
          <w:szCs w:val="24"/>
        </w:rPr>
        <w:t>udržitelnosti</w:t>
      </w:r>
      <w:r>
        <w:rPr>
          <w:rStyle w:val="FootnoteReference"/>
          <w:rFonts w:ascii="EC Square Sans Pro Light" w:hAnsi="EC Square Sans Pro Light" w:cs="Times New Roman"/>
          <w:b/>
          <w:noProof/>
          <w:szCs w:val="24"/>
        </w:rPr>
        <w:footnoteReference w:id="7"/>
      </w:r>
      <w:r>
        <w:rPr>
          <w:rFonts w:ascii="EC Square Sans Pro Light" w:hAnsi="EC Square Sans Pro Light"/>
          <w:noProof/>
          <w:szCs w:val="24"/>
        </w:rPr>
        <w:t xml:space="preserve">, od klimatických cílů až po oběhovost, nulové znečištění a biologickou rozmanitost, </w:t>
      </w:r>
    </w:p>
    <w:p w:rsidR="002F1537" w:rsidRDefault="00D04A0B">
      <w:pPr>
        <w:pStyle w:val="ListParagraph"/>
        <w:numPr>
          <w:ilvl w:val="0"/>
          <w:numId w:val="3"/>
        </w:numPr>
        <w:spacing w:after="150" w:line="276" w:lineRule="auto"/>
        <w:rPr>
          <w:rFonts w:ascii="EC Square Sans Pro Light" w:hAnsi="EC Square Sans Pro Light" w:cs="Times New Roman"/>
          <w:noProof/>
          <w:szCs w:val="24"/>
        </w:rPr>
      </w:pPr>
      <w:r>
        <w:rPr>
          <w:rFonts w:ascii="EC Square Sans Pro Light" w:hAnsi="EC Square Sans Pro Light"/>
          <w:b/>
          <w:noProof/>
          <w:szCs w:val="24"/>
        </w:rPr>
        <w:t>estetice</w:t>
      </w:r>
      <w:r>
        <w:rPr>
          <w:rFonts w:ascii="EC Square Sans Pro Light" w:hAnsi="EC Square Sans Pro Light"/>
          <w:noProof/>
          <w:szCs w:val="24"/>
        </w:rPr>
        <w:t xml:space="preserve">, kdy je kromě funkčnosti kladen důraz také na kvalitní zážitek a styl, </w:t>
      </w:r>
    </w:p>
    <w:p w:rsidR="002F1537" w:rsidRDefault="00D04A0B">
      <w:pPr>
        <w:pStyle w:val="ListParagraph"/>
        <w:numPr>
          <w:ilvl w:val="0"/>
          <w:numId w:val="3"/>
        </w:numPr>
        <w:spacing w:after="150" w:line="276" w:lineRule="auto"/>
        <w:rPr>
          <w:rFonts w:ascii="EC Square Sans Pro Light" w:hAnsi="EC Square Sans Pro Light" w:cs="Times New Roman"/>
          <w:noProof/>
          <w:szCs w:val="24"/>
        </w:rPr>
      </w:pPr>
      <w:r>
        <w:rPr>
          <w:rFonts w:ascii="EC Square Sans Pro Light" w:hAnsi="EC Square Sans Pro Light"/>
          <w:b/>
          <w:noProof/>
          <w:szCs w:val="24"/>
        </w:rPr>
        <w:t>inkluzi</w:t>
      </w:r>
      <w:r>
        <w:rPr>
          <w:rFonts w:ascii="EC Square Sans Pro Light" w:hAnsi="EC Square Sans Pro Light"/>
          <w:noProof/>
          <w:szCs w:val="24"/>
        </w:rPr>
        <w:t xml:space="preserve">, která zahrnuje uznání hodnoty rozmanitosti, zajištění rovnosti pro všechny, přístupnosti a cenové dostupnosti. </w:t>
      </w:r>
    </w:p>
    <w:p w:rsidR="002F1537" w:rsidRDefault="00D04A0B">
      <w:pPr>
        <w:spacing w:after="150" w:line="276" w:lineRule="auto"/>
        <w:jc w:val="center"/>
        <w:rPr>
          <w:rFonts w:ascii="EC Square Sans Pro Light" w:hAnsi="EC Square Sans Pro Light" w:cs="Times New Roman"/>
          <w:noProof/>
          <w:szCs w:val="24"/>
        </w:rPr>
      </w:pPr>
      <w:r>
        <w:rPr>
          <w:rFonts w:ascii="EC Square Sans Pro Light" w:hAnsi="EC Square Sans Pro Light" w:cs="Times New Roman"/>
          <w:noProof/>
          <w:szCs w:val="24"/>
          <w:lang w:val="en-GB" w:eastAsia="en-GB"/>
        </w:rPr>
        <w:drawing>
          <wp:inline distT="0" distB="0" distL="0" distR="0">
            <wp:extent cx="3056467" cy="2211273"/>
            <wp:effectExtent l="0" t="0" r="0" b="0"/>
            <wp:docPr id="2" name="Picture 2" descr="C:\Users\kratool\AppData\Local\CATE\DGT\Dossiers\JRC\JRC-2021-80014\JRC-2021-80014-04-00-CS-SRC-00\CS\ANNEX1_3_triangle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tool\AppData\Local\CATE\DGT\Dossiers\JRC\JRC-2021-80014\JRC-2021-80014-04-00-CS-SRC-00\CS\ANNEX1_3_triangle_CS-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2556" cy="2244617"/>
                    </a:xfrm>
                    <a:prstGeom prst="rect">
                      <a:avLst/>
                    </a:prstGeom>
                    <a:noFill/>
                    <a:ln>
                      <a:noFill/>
                    </a:ln>
                  </pic:spPr>
                </pic:pic>
              </a:graphicData>
            </a:graphic>
          </wp:inline>
        </w:drawing>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Úkolem je respektovat všechny tři tyto hodnoty při vývoji takových kreativních řešení, která nejlépe naplní potřeby občanů a zároveň budou vyžadovat nižší celkové náklady.</w:t>
      </w:r>
    </w:p>
    <w:p w:rsidR="002F1537" w:rsidRDefault="002F1537">
      <w:pPr>
        <w:spacing w:after="150" w:line="276" w:lineRule="auto"/>
        <w:jc w:val="both"/>
        <w:rPr>
          <w:rFonts w:ascii="EC Square Sans Pro Light" w:hAnsi="EC Square Sans Pro Light" w:cs="Times New Roman"/>
          <w:noProof/>
          <w:sz w:val="24"/>
          <w:szCs w:val="24"/>
        </w:rPr>
      </w:pPr>
    </w:p>
    <w:p w:rsidR="002F1537" w:rsidRDefault="00D04A0B">
      <w:pPr>
        <w:pStyle w:val="Heading2"/>
        <w:rPr>
          <w:noProof/>
        </w:rPr>
      </w:pPr>
      <w:bookmarkStart w:id="8" w:name="_Toc82678667"/>
      <w:r>
        <w:rPr>
          <w:noProof/>
        </w:rPr>
        <w:t>Tři hlavní zásady</w:t>
      </w:r>
      <w:bookmarkEnd w:id="8"/>
      <w:r>
        <w:rPr>
          <w:noProof/>
        </w:rPr>
        <w:t xml:space="preserve">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Komise z procesu společného návrhu převzala </w:t>
      </w:r>
      <w:r>
        <w:rPr>
          <w:rFonts w:ascii="EC Square Sans Pro Light" w:hAnsi="EC Square Sans Pro Light"/>
          <w:b/>
          <w:noProof/>
          <w:sz w:val="24"/>
          <w:szCs w:val="24"/>
        </w:rPr>
        <w:t>tři hlavní zásady</w:t>
      </w:r>
      <w:r>
        <w:rPr>
          <w:rFonts w:ascii="EC Square Sans Pro Light" w:hAnsi="EC Square Sans Pro Light"/>
          <w:noProof/>
          <w:sz w:val="24"/>
          <w:szCs w:val="24"/>
        </w:rPr>
        <w:t>, jimiž by se měl Nový evropský Bauhaus řídit.</w:t>
      </w:r>
    </w:p>
    <w:p w:rsidR="002F1537" w:rsidRDefault="00D04A0B">
      <w:pPr>
        <w:pStyle w:val="ListParagraph"/>
        <w:numPr>
          <w:ilvl w:val="0"/>
          <w:numId w:val="42"/>
        </w:numPr>
        <w:spacing w:line="276" w:lineRule="auto"/>
        <w:rPr>
          <w:rFonts w:ascii="EC Square Sans Pro Light" w:hAnsi="EC Square Sans Pro Light" w:cs="Times New Roman"/>
          <w:noProof/>
          <w:szCs w:val="24"/>
        </w:rPr>
      </w:pPr>
      <w:r>
        <w:rPr>
          <w:rFonts w:ascii="EC Square Sans Pro Light" w:hAnsi="EC Square Sans Pro Light"/>
          <w:noProof/>
          <w:szCs w:val="24"/>
        </w:rPr>
        <w:t>Kombinace celosvětového a místního rozměru</w:t>
      </w:r>
    </w:p>
    <w:p w:rsidR="002F1537" w:rsidRDefault="00D04A0B">
      <w:pPr>
        <w:pStyle w:val="ListParagraph"/>
        <w:numPr>
          <w:ilvl w:val="0"/>
          <w:numId w:val="42"/>
        </w:numPr>
        <w:spacing w:line="276" w:lineRule="auto"/>
        <w:rPr>
          <w:rFonts w:ascii="EC Square Sans Pro Light" w:hAnsi="EC Square Sans Pro Light" w:cs="Times New Roman"/>
          <w:noProof/>
          <w:szCs w:val="24"/>
        </w:rPr>
      </w:pPr>
      <w:r>
        <w:rPr>
          <w:rFonts w:ascii="EC Square Sans Pro Light" w:hAnsi="EC Square Sans Pro Light"/>
          <w:noProof/>
          <w:szCs w:val="24"/>
        </w:rPr>
        <w:t>Participace</w:t>
      </w:r>
    </w:p>
    <w:p w:rsidR="002F1537" w:rsidRDefault="00D04A0B">
      <w:pPr>
        <w:pStyle w:val="ListParagraph"/>
        <w:numPr>
          <w:ilvl w:val="0"/>
          <w:numId w:val="42"/>
        </w:numPr>
        <w:spacing w:line="276" w:lineRule="auto"/>
        <w:rPr>
          <w:rFonts w:ascii="EC Square Sans Pro Light" w:hAnsi="EC Square Sans Pro Light" w:cs="Times New Roman"/>
          <w:noProof/>
          <w:szCs w:val="24"/>
        </w:rPr>
      </w:pPr>
      <w:r>
        <w:rPr>
          <w:rFonts w:ascii="EC Square Sans Pro Light" w:hAnsi="EC Square Sans Pro Light"/>
          <w:noProof/>
          <w:szCs w:val="24"/>
        </w:rPr>
        <w:t>Mezioborovost</w:t>
      </w:r>
    </w:p>
    <w:p w:rsidR="002F1537" w:rsidRDefault="00D04A0B">
      <w:pPr>
        <w:pStyle w:val="Heading3"/>
        <w:rPr>
          <w:noProof/>
        </w:rPr>
      </w:pPr>
      <w:bookmarkStart w:id="9" w:name="_Toc82678668"/>
      <w:r>
        <w:rPr>
          <w:noProof/>
        </w:rPr>
        <w:t>Víceúrovňový přístup: od globálního k místnímu</w:t>
      </w:r>
      <w:bookmarkEnd w:id="9"/>
      <w:r>
        <w:rPr>
          <w:noProof/>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Nový evropský Bauhaus podporuje </w:t>
      </w:r>
      <w:r>
        <w:rPr>
          <w:rFonts w:ascii="EC Square Sans Pro Light" w:hAnsi="EC Square Sans Pro Light"/>
          <w:b/>
          <w:noProof/>
          <w:sz w:val="24"/>
        </w:rPr>
        <w:t>víceúrovňový přístup k transformaci – od celosvětového k lokálnímu</w:t>
      </w:r>
      <w:r>
        <w:rPr>
          <w:rFonts w:ascii="EC Square Sans Pro Light" w:hAnsi="EC Square Sans Pro Light"/>
          <w:noProof/>
          <w:sz w:val="24"/>
          <w:szCs w:val="24"/>
        </w:rPr>
        <w:t>. Změna klimatu a ekologická transformace přinášejí výzvy, které je třeba řešit na celosvětové úrovni. Nicméně až na místní úrovni získávají konkrétní řešení hmatatelnou a pro lidi smysluplnou podobu</w:t>
      </w:r>
      <w:r>
        <w:rPr>
          <w:rStyle w:val="FootnoteReference"/>
          <w:rFonts w:ascii="EC Square Sans Pro Light" w:hAnsi="EC Square Sans Pro Light" w:cs="Times New Roman"/>
          <w:noProof/>
          <w:sz w:val="24"/>
          <w:szCs w:val="24"/>
        </w:rPr>
        <w:footnoteReference w:id="8"/>
      </w:r>
      <w:r>
        <w:rPr>
          <w:rFonts w:ascii="EC Square Sans Pro Light" w:hAnsi="EC Square Sans Pro Light"/>
          <w:noProof/>
          <w:sz w:val="24"/>
          <w:szCs w:val="24"/>
        </w:rPr>
        <w:t>. Nový evropský Bauhaus se proto zabývá různými úrovněmi transformace, od celosvětové až po úroveň čtvrtí, vesnic a měst.</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Realizace Nového evropského Bauhausu musí zahrnovat podporu na místní úrovni na základě </w:t>
      </w:r>
      <w:r>
        <w:rPr>
          <w:rFonts w:ascii="EC Square Sans Pro Light" w:hAnsi="EC Square Sans Pro Light"/>
          <w:b/>
          <w:noProof/>
          <w:sz w:val="24"/>
          <w:szCs w:val="24"/>
        </w:rPr>
        <w:t>místně podmíněného přístupu</w:t>
      </w:r>
      <w:r>
        <w:rPr>
          <w:rFonts w:ascii="EC Square Sans Pro Light" w:hAnsi="EC Square Sans Pro Light"/>
          <w:noProof/>
          <w:sz w:val="24"/>
          <w:szCs w:val="24"/>
        </w:rPr>
        <w:t xml:space="preserve">. Na úspěšných malých projektech vidíme, že transformativní iniciativy, a to různého rozsahu, může uskutečnit kdokoli a kdekoli. Nový evropský Bauhaus bude proto hledat způsoby, jak podpořit </w:t>
      </w:r>
      <w:r>
        <w:rPr>
          <w:rFonts w:ascii="EC Square Sans Pro Light" w:hAnsi="EC Square Sans Pro Light"/>
          <w:b/>
          <w:noProof/>
          <w:sz w:val="24"/>
          <w:szCs w:val="24"/>
        </w:rPr>
        <w:t xml:space="preserve">malé iniciativy </w:t>
      </w:r>
      <w:r>
        <w:rPr>
          <w:rFonts w:ascii="EC Square Sans Pro Light" w:hAnsi="EC Square Sans Pro Light"/>
          <w:noProof/>
          <w:sz w:val="24"/>
          <w:szCs w:val="24"/>
        </w:rPr>
        <w:t>jednotlivců, čtvrtí</w:t>
      </w:r>
      <w:r>
        <w:rPr>
          <w:rFonts w:ascii="Arial" w:hAnsi="Arial"/>
          <w:noProof/>
          <w:sz w:val="24"/>
          <w:szCs w:val="24"/>
        </w:rPr>
        <w:t xml:space="preserve"> </w:t>
      </w:r>
      <w:r>
        <w:rPr>
          <w:rFonts w:ascii="EC Square Sans Pro Light" w:hAnsi="EC Square Sans Pro Light"/>
          <w:noProof/>
          <w:sz w:val="24"/>
          <w:szCs w:val="24"/>
        </w:rPr>
        <w:t>a</w:t>
      </w:r>
      <w:r>
        <w:rPr>
          <w:rFonts w:ascii="Arial" w:hAnsi="Arial"/>
          <w:noProof/>
          <w:sz w:val="24"/>
          <w:szCs w:val="24"/>
        </w:rPr>
        <w:t xml:space="preserve"> </w:t>
      </w:r>
      <w:r>
        <w:rPr>
          <w:rFonts w:ascii="EC Square Sans Pro Light" w:hAnsi="EC Square Sans Pro Light"/>
          <w:noProof/>
          <w:sz w:val="24"/>
          <w:szCs w:val="24"/>
        </w:rPr>
        <w:t xml:space="preserve">místních komunit.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To nelze omezit pouze na Evropskou unii. Nový evropský Bauhaus časem pronikne za evropské hranice s cílem šířit své zásady udržitelnosti, inkluze a estetiky na celém světě.</w:t>
      </w:r>
    </w:p>
    <w:p w:rsidR="002F1537" w:rsidRDefault="00D04A0B">
      <w:pPr>
        <w:pStyle w:val="Heading3"/>
        <w:rPr>
          <w:noProof/>
        </w:rPr>
      </w:pPr>
      <w:r>
        <w:rPr>
          <w:noProof/>
        </w:rPr>
        <w:t xml:space="preserve"> </w:t>
      </w:r>
      <w:bookmarkStart w:id="10" w:name="_Toc82678669"/>
      <w:r>
        <w:rPr>
          <w:noProof/>
        </w:rPr>
        <w:t>Participativní přístup</w:t>
      </w:r>
      <w:bookmarkEnd w:id="10"/>
      <w:r>
        <w:rPr>
          <w:noProof/>
        </w:rPr>
        <w:t xml:space="preserve">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Evropská komise je silným zastáncem participativního přístupu, o čemž svědčí probíhající Konference o budoucnosti Evropy, jejímž cílem je prohloubit a udržet spolupráci s občany. Komise bude i nadále naslouchat subjektům působícím v praxi, spolupracovat s nimi a společně zkoumat, kde politika, financování a další nástroje skutečně přispívají ke změnám. To bude probíhat zejména v rámci Laboratoře NEB. Participativní přístup </w:t>
      </w:r>
      <w:r>
        <w:rPr>
          <w:rFonts w:ascii="EC Square Sans Pro Light" w:hAnsi="EC Square Sans Pro Light"/>
          <w:b/>
          <w:noProof/>
          <w:sz w:val="24"/>
          <w:szCs w:val="24"/>
        </w:rPr>
        <w:t>zapojuje občanskou společnost a lidi všech věkových skupin v celé jejich rozmanitosti</w:t>
      </w:r>
      <w:r>
        <w:rPr>
          <w:rFonts w:ascii="EC Square Sans Pro Light" w:hAnsi="EC Square Sans Pro Light"/>
          <w:noProof/>
          <w:sz w:val="24"/>
          <w:szCs w:val="24"/>
        </w:rPr>
        <w:t>, mimo jiné ženy (které jsou v některých klíčových odvětvích nedostatečně zastoupeny) a znevýhodněné skupiny</w:t>
      </w:r>
      <w:r>
        <w:rPr>
          <w:rStyle w:val="FootnoteReference"/>
          <w:rFonts w:ascii="EC Square Sans Pro Light" w:hAnsi="EC Square Sans Pro Light" w:cs="Times New Roman"/>
          <w:noProof/>
          <w:sz w:val="24"/>
          <w:szCs w:val="24"/>
        </w:rPr>
        <w:footnoteReference w:id="9"/>
      </w:r>
      <w:r>
        <w:rPr>
          <w:rFonts w:ascii="EC Square Sans Pro Light" w:hAnsi="EC Square Sans Pro Light"/>
          <w:noProof/>
          <w:sz w:val="24"/>
          <w:szCs w:val="24"/>
        </w:rPr>
        <w:t xml:space="preserve">. Toto nezbytné zaměření na inkluzi má zajistit, aby nikdo nebyl opomenut, a zároveň odráží přesvědčení, že nejkreativnější řešení vycházejí z kolektivního myšlení. Nová řešení by měla nalézat odpovědi na každodenní problémy a všem přinést vyšší kvalitu života. </w:t>
      </w:r>
    </w:p>
    <w:p w:rsidR="002F1537" w:rsidRDefault="00D04A0B">
      <w:pPr>
        <w:pStyle w:val="Heading3"/>
        <w:rPr>
          <w:noProof/>
        </w:rPr>
      </w:pPr>
      <w:r>
        <w:rPr>
          <w:noProof/>
        </w:rPr>
        <w:t xml:space="preserve"> </w:t>
      </w:r>
      <w:bookmarkStart w:id="11" w:name="_Toc82678670"/>
      <w:r>
        <w:rPr>
          <w:noProof/>
        </w:rPr>
        <w:t>Transdisciplinární přístup</w:t>
      </w:r>
      <w:bookmarkEnd w:id="11"/>
      <w:r>
        <w:rPr>
          <w:noProof/>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Iniciativa Nový evropský Bauhaus je založena na překonávání propastí mezi různými profesemi a úhly pohledu. Propojíme-li kulturu a technologie, inovace a design, technické obory, řemesla, umění a vědu, dokážou společnými silami přispět k vytvoření lepší budoucnosti.</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Koronavirová pandemie ukázala, že k řešení složitých problémů, kterým naše planeta a naše společnost v dnešní době čelí, jsou více než kdy jindy zapotřebí integrované přístupy. Smysluplná transformace vyžaduje zapojení mnoha různých kompetencí a znalostí. Práce a vzdělávání se napříč obory usnadňuje vzájemné obohacování myšlenek, znalostí, dovedností a metod. </w:t>
      </w:r>
    </w:p>
    <w:p w:rsidR="002F1537" w:rsidRDefault="002F1537">
      <w:pPr>
        <w:spacing w:after="150" w:line="276" w:lineRule="auto"/>
        <w:jc w:val="both"/>
        <w:rPr>
          <w:rFonts w:ascii="EC Square Sans Pro Light" w:hAnsi="EC Square Sans Pro Light"/>
          <w:noProof/>
          <w:color w:val="FF0000"/>
          <w:sz w:val="24"/>
        </w:rPr>
      </w:pPr>
    </w:p>
    <w:p w:rsidR="002F1537" w:rsidRDefault="00D04A0B">
      <w:pPr>
        <w:pStyle w:val="Heading2"/>
        <w:rPr>
          <w:noProof/>
        </w:rPr>
      </w:pPr>
      <w:bookmarkStart w:id="12" w:name="_Toc82678671"/>
      <w:r>
        <w:rPr>
          <w:noProof/>
        </w:rPr>
        <w:t>Tematické osy transformační cesty</w:t>
      </w:r>
      <w:bookmarkEnd w:id="12"/>
    </w:p>
    <w:p w:rsidR="002F1537" w:rsidRDefault="00D04A0B">
      <w:pPr>
        <w:spacing w:after="150" w:line="276" w:lineRule="auto"/>
        <w:jc w:val="both"/>
        <w:rPr>
          <w:rFonts w:ascii="EC Square Sans Pro Light" w:eastAsiaTheme="majorEastAsia" w:hAnsi="EC Square Sans Pro Light" w:cs="Times New Roman"/>
          <w:b/>
          <w:noProof/>
          <w:sz w:val="24"/>
          <w:szCs w:val="24"/>
        </w:rPr>
      </w:pPr>
      <w:r>
        <w:rPr>
          <w:rFonts w:ascii="EC Square Sans Pro Light" w:hAnsi="EC Square Sans Pro Light"/>
          <w:noProof/>
          <w:sz w:val="24"/>
          <w:szCs w:val="24"/>
        </w:rPr>
        <w:t>Při vytváření nového hnutí je nutné spolupracovat s lidmi a brát v úvahu jejich zájmy, potřeby a motivace. Analýza informací získaných během fáze společného návrhu určila čtyři tematické osy, jimiž se Komise při provádění Nového evropského Bauhausu rozhodla řídit.</w:t>
      </w:r>
      <w:r>
        <w:rPr>
          <w:rFonts w:ascii="EC Square Sans Pro Light" w:hAnsi="EC Square Sans Pro Light"/>
          <w:b/>
          <w:noProof/>
          <w:sz w:val="24"/>
          <w:szCs w:val="24"/>
        </w:rPr>
        <w:t xml:space="preserve"> </w:t>
      </w:r>
    </w:p>
    <w:p w:rsidR="002F1537" w:rsidRDefault="00D04A0B">
      <w:pPr>
        <w:spacing w:after="150" w:line="276" w:lineRule="auto"/>
        <w:jc w:val="both"/>
        <w:rPr>
          <w:rFonts w:ascii="EC Square Sans Pro Light" w:eastAsiaTheme="majorEastAsia" w:hAnsi="EC Square Sans Pro Light" w:cs="Times New Roman"/>
          <w:b/>
          <w:noProof/>
          <w:sz w:val="24"/>
          <w:szCs w:val="24"/>
        </w:rPr>
      </w:pPr>
      <w:r>
        <w:rPr>
          <w:rFonts w:ascii="EC Square Sans Pro Light" w:hAnsi="EC Square Sans Pro Light"/>
          <w:b/>
          <w:noProof/>
          <w:sz w:val="24"/>
          <w:szCs w:val="24"/>
          <w:lang w:val="en-GB" w:eastAsia="en-GB"/>
        </w:rPr>
        <w:drawing>
          <wp:inline distT="0" distB="0" distL="0" distR="0">
            <wp:extent cx="5731510" cy="150368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503680"/>
                    </a:xfrm>
                    <a:prstGeom prst="rect">
                      <a:avLst/>
                    </a:prstGeom>
                  </pic:spPr>
                </pic:pic>
              </a:graphicData>
            </a:graphic>
          </wp:inline>
        </w:drawing>
      </w:r>
    </w:p>
    <w:p w:rsidR="002F1537" w:rsidRDefault="002F1537">
      <w:pPr>
        <w:spacing w:after="150" w:line="276" w:lineRule="auto"/>
        <w:jc w:val="both"/>
        <w:rPr>
          <w:rFonts w:ascii="EC Square Sans Pro Light" w:eastAsiaTheme="majorEastAsia" w:hAnsi="EC Square Sans Pro Light" w:cs="Times New Roman"/>
          <w:b/>
          <w:noProof/>
          <w:sz w:val="24"/>
          <w:szCs w:val="24"/>
          <w:lang w:val="en-IE"/>
        </w:rPr>
      </w:pPr>
    </w:p>
    <w:p w:rsidR="002F1537" w:rsidRDefault="00D04A0B">
      <w:pPr>
        <w:pStyle w:val="Heading3"/>
        <w:rPr>
          <w:noProof/>
        </w:rPr>
      </w:pPr>
      <w:bookmarkStart w:id="13" w:name="_Toc82678672"/>
      <w:r>
        <w:rPr>
          <w:noProof/>
        </w:rPr>
        <w:t>Návrat k přírodě</w:t>
      </w:r>
      <w:bookmarkEnd w:id="13"/>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Z příspěvků vyplynulo, že lidé jsou dnes informovanější, jsou ochotnější řešit změnu klimatu (prostřednictvím jejího zmírňování a přizpůsobování se jí) a chtějí snižovat vystavení se znečištění.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Člověkem vnímanou potřebu návratu k přírodě, mj. za účelem zlepšení zdraví a duševní pohody, potvrzují i výzkumy: více zeleně ve veřejném prostoru vede ke zlepšení ukazatelů zdraví obyvatel a ke snížení nerovností, pokud jde o zdravotní stav populace, souvisejících s výší příjmu</w:t>
      </w:r>
      <w:r>
        <w:rPr>
          <w:rFonts w:ascii="EC Square Sans Pro Light" w:hAnsi="EC Square Sans Pro Light"/>
          <w:noProof/>
          <w:sz w:val="24"/>
          <w:vertAlign w:val="superscript"/>
          <w:lang w:val="en-IE"/>
        </w:rPr>
        <w:footnoteReference w:id="10"/>
      </w:r>
      <w:r>
        <w:rPr>
          <w:rFonts w:ascii="EC Square Sans Pro Light" w:hAnsi="EC Square Sans Pro Light"/>
          <w:noProof/>
          <w:sz w:val="24"/>
          <w:szCs w:val="24"/>
        </w:rPr>
        <w:t xml:space="preserve">. Řešení inspirovaná přírodou mohou ve městech nejen pomoci řešit problém povodní a další extrémní dopady nepříznivého počasí, ale také občanům dopřát atraktivnější zastavěné prostředí.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Opatření v oblasti klimatu již nejsou považována za nějaký abstraktní boj, ale za nedílnou součást našeho každodenního života, která může zlepšit kvalitu ovzduší, vody a půdy a naše celkové životní podmínky. To jsme si ještě více uvědomili během pandemie, kdy jsme museli omezit svůj životní prostor, a znovu jsme tak objevovali svá města, vesnice a zeleň okolo nás. Pandemie zdůraznila přímou souvislost mezi ochranou přírody a fyzickým a duševním zdravím každého z nás.</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Naši perspektivu zaměřenou pouze na člověka je třeba rozšířit a začít klást důraz na </w:t>
      </w:r>
      <w:r>
        <w:rPr>
          <w:rFonts w:ascii="EC Square Sans Pro Light" w:hAnsi="EC Square Sans Pro Light"/>
          <w:b/>
          <w:noProof/>
          <w:sz w:val="24"/>
          <w:szCs w:val="24"/>
        </w:rPr>
        <w:t>život jako takový</w:t>
      </w:r>
      <w:r>
        <w:rPr>
          <w:rFonts w:ascii="EC Square Sans Pro Light" w:hAnsi="EC Square Sans Pro Light"/>
          <w:noProof/>
          <w:sz w:val="24"/>
          <w:szCs w:val="24"/>
        </w:rPr>
        <w:t>, inspirovat se přírodou a učit se od ní. Možností, jak toho docílit, je celá řada: od zvyšování množství zeleně ve městech, přes využívání materiálů založených na udržitelných přírodních zdrojích až po inovativní řešení založená na „imitaci“ prvků vyskytujících se v přírodě, od péče o půdu po opětovné využití nebo recyklaci odpadu, od budování městských zelených koridorů pro aktivní mobilitu až po přehodnocení dopravní infrastruktury.</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Návrat k přírodě je důležitým tématem již v mladém věku. Svědčí o tom miliony mladých lidí, kteří vyzývají k tomu, abychom lépe pečovali o svou planetu, a probouzejí naše povědomí o ekologii. Z doporučení obsažených v příspěvcích shromážděných během fáze společného návrhu vyplývá, že </w:t>
      </w:r>
      <w:r>
        <w:rPr>
          <w:rFonts w:ascii="EC Square Sans Pro Light" w:hAnsi="EC Square Sans Pro Light"/>
          <w:b/>
          <w:noProof/>
          <w:sz w:val="24"/>
        </w:rPr>
        <w:t xml:space="preserve">při posunu paradigmatu </w:t>
      </w:r>
      <w:r>
        <w:rPr>
          <w:rFonts w:ascii="EC Square Sans Pro Light" w:hAnsi="EC Square Sans Pro Light"/>
          <w:b/>
          <w:noProof/>
          <w:sz w:val="24"/>
          <w:szCs w:val="24"/>
        </w:rPr>
        <w:t>směrem</w:t>
      </w:r>
      <w:r>
        <w:rPr>
          <w:rFonts w:ascii="EC Square Sans Pro Light" w:hAnsi="EC Square Sans Pro Light"/>
          <w:b/>
          <w:noProof/>
          <w:sz w:val="24"/>
        </w:rPr>
        <w:t xml:space="preserve"> k novému způsobu chování a novým hodnotám hrají důležitou úlohu vzdělání a kultura</w:t>
      </w:r>
      <w:r>
        <w:rPr>
          <w:rFonts w:ascii="EC Square Sans Pro Light" w:hAnsi="EC Square Sans Pro Light"/>
          <w:noProof/>
          <w:sz w:val="24"/>
          <w:szCs w:val="24"/>
        </w:rPr>
        <w:t xml:space="preserve">. Budeme-li děti a mládež vzdělávat a předávat jim v této oblasti zodpovědnost participativním způsobem, aby díky vlastnímu zapojení mohly udržitelnosti a inkluzi lépe porozumět, zažít si je na vlastní kůži a vzít je za své, umožníme dalším generacím vytvořit si s přírodou pevné pouto.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lang w:val="en-GB" w:eastAsia="en-GB"/>
        </w:rPr>
        <w:drawing>
          <wp:inline distT="0" distB="0" distL="0" distR="0">
            <wp:extent cx="5731510" cy="15360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536065"/>
                    </a:xfrm>
                    <a:prstGeom prst="rect">
                      <a:avLst/>
                    </a:prstGeom>
                  </pic:spPr>
                </pic:pic>
              </a:graphicData>
            </a:graphic>
          </wp:inline>
        </w:drawing>
      </w:r>
    </w:p>
    <w:p w:rsidR="002F1537" w:rsidRDefault="00D04A0B">
      <w:pPr>
        <w:pStyle w:val="Heading3"/>
        <w:rPr>
          <w:noProof/>
        </w:rPr>
      </w:pPr>
      <w:bookmarkStart w:id="14" w:name="_Toc82678673"/>
      <w:r>
        <w:rPr>
          <w:noProof/>
        </w:rPr>
        <w:t>Znovu získat pocit sounáležitosti</w:t>
      </w:r>
      <w:bookmarkEnd w:id="14"/>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Hnutí Nového evropského Bauhausu cílí jak na naše soukromé, tak i kolektivní zkušenosti. Překonávání bariér mezi lidmi bylo dalším přáním, které přispěvatelé ve fázi společného návrhu často vyjadřovali. </w:t>
      </w:r>
    </w:p>
    <w:p w:rsidR="002F1537" w:rsidRDefault="00D04A0B">
      <w:pPr>
        <w:spacing w:line="276" w:lineRule="auto"/>
        <w:jc w:val="both"/>
        <w:rPr>
          <w:rFonts w:ascii="EC Square Sans Pro Light" w:hAnsi="EC Square Sans Pro Light"/>
          <w:noProof/>
          <w:sz w:val="24"/>
          <w:highlight w:val="yellow"/>
        </w:rPr>
      </w:pPr>
      <w:r>
        <w:rPr>
          <w:rFonts w:ascii="EC Square Sans Pro Light" w:hAnsi="EC Square Sans Pro Light"/>
          <w:noProof/>
          <w:sz w:val="24"/>
          <w:szCs w:val="24"/>
        </w:rPr>
        <w:t>To předpokládá podporu mezigenerační solidarity, vytváření vazeb mezi vzděláváním a uměním v místním prostředí, zvyšování kvality našeho společného prostoru a míst, kde se můžeme setkávat. Možností, jak posílit pospolitost a zároveň podpořit zdravou, udržitelnou a aktivní mobilitu, je také lokální ekonomika a její koncepce jako např. „15minutová města“</w:t>
      </w:r>
      <w:r>
        <w:rPr>
          <w:rStyle w:val="FootnoteReference"/>
          <w:rFonts w:ascii="EC Square Sans Pro Light" w:hAnsi="EC Square Sans Pro Light" w:cs="Times New Roman"/>
          <w:noProof/>
          <w:sz w:val="24"/>
          <w:szCs w:val="24"/>
          <w:lang w:val="en-IE"/>
        </w:rPr>
        <w:footnoteReference w:id="11"/>
      </w:r>
      <w:r>
        <w:rPr>
          <w:rFonts w:ascii="EC Square Sans Pro Light" w:hAnsi="EC Square Sans Pro Light"/>
          <w:noProof/>
          <w:sz w:val="24"/>
          <w:szCs w:val="24"/>
        </w:rPr>
        <w:t xml:space="preserve"> zajišťující občanům přístup ke klíčovým službám a zařízením v docházkové vzdálenosti.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Jedinečnost místu dodávají kulturní statky (kulturní dědictví, umění, místní řemesla, know-how apod.), přírodní bohatství (krajina, přírodní zdroje apod.) a sociální aktiva (sociální podniky, místní organizace a sdružení apod.). Kulturní život, umělecké akce a koncerty jsou příležitostí k setkávání a společenské interakci a působí tak jako spojovací prvek, který vytváří pocit sounáležitosti.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lang w:val="en-GB" w:eastAsia="en-GB"/>
        </w:rPr>
        <w:drawing>
          <wp:inline distT="0" distB="0" distL="0" distR="0">
            <wp:extent cx="5731510" cy="14789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1478915"/>
                    </a:xfrm>
                    <a:prstGeom prst="rect">
                      <a:avLst/>
                    </a:prstGeom>
                  </pic:spPr>
                </pic:pic>
              </a:graphicData>
            </a:graphic>
          </wp:inline>
        </w:drawing>
      </w:r>
    </w:p>
    <w:p w:rsidR="002F1537" w:rsidRDefault="00D04A0B">
      <w:pPr>
        <w:pStyle w:val="Heading3"/>
        <w:rPr>
          <w:noProof/>
        </w:rPr>
      </w:pPr>
      <w:bookmarkStart w:id="15" w:name="_Toc82678674"/>
      <w:r>
        <w:rPr>
          <w:noProof/>
        </w:rPr>
        <w:t>Upřednostnění nejpotřebnějších míst a osob</w:t>
      </w:r>
      <w:bookmarkEnd w:id="15"/>
      <w:r>
        <w:rPr>
          <w:noProof/>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Fáze společného návrhu poukázala na to, že Nový evropský Bauhaus musí být inkluzivní. To se netýká pouze lidí, ale také míst, kde žijí.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Estetická a udržitelná řešení </w:t>
      </w:r>
      <w:r>
        <w:rPr>
          <w:rFonts w:ascii="EC Square Sans Pro Light" w:hAnsi="EC Square Sans Pro Light"/>
          <w:b/>
          <w:noProof/>
          <w:sz w:val="24"/>
          <w:szCs w:val="24"/>
        </w:rPr>
        <w:t>musí být cenově dostupná a přístupná pro všechny</w:t>
      </w:r>
      <w:r>
        <w:rPr>
          <w:rFonts w:ascii="EC Square Sans Pro Light" w:hAnsi="EC Square Sans Pro Light"/>
          <w:noProof/>
          <w:sz w:val="24"/>
          <w:szCs w:val="24"/>
        </w:rPr>
        <w:t>. Náležitá pozornost by měla být věnována zvláštní situaci skupin a jednotlivců, kteří jsou nejzranitelnější, například jsou ohroženi vyloučením nebo chudobou nebo jsou postiženi bezdomovectvím. Například co se týče uspokojení potřeb sociálního bydlení, ročně v EU vyžaduje 800 000 bytových jednotek (5 % celkového fondu sociálního bydlení) renovaci a 450 000 jednotek je potřeba vybudovat</w:t>
      </w:r>
      <w:r>
        <w:rPr>
          <w:rStyle w:val="FootnoteReference"/>
          <w:rFonts w:ascii="EC Square Sans Pro Light" w:hAnsi="EC Square Sans Pro Light" w:cs="Times New Roman"/>
          <w:noProof/>
          <w:sz w:val="24"/>
          <w:szCs w:val="24"/>
          <w:lang w:val="en-IE"/>
        </w:rPr>
        <w:footnoteReference w:id="12"/>
      </w:r>
      <w:r>
        <w:rPr>
          <w:rFonts w:ascii="EC Square Sans Pro Light" w:hAnsi="EC Square Sans Pro Light"/>
          <w:noProof/>
          <w:sz w:val="24"/>
          <w:szCs w:val="24"/>
        </w:rPr>
        <w:t xml:space="preserve">. Znevýhodněné skupiny jsou také více ohroženy energetickou chudobou a znečištěním ovzduší a mají horší přístup k veřejné dopravě.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Inkluze rovněž zahrnuje uplatnění </w:t>
      </w:r>
      <w:r>
        <w:rPr>
          <w:rFonts w:ascii="EC Square Sans Pro Light" w:hAnsi="EC Square Sans Pro Light"/>
          <w:b/>
          <w:noProof/>
          <w:sz w:val="24"/>
          <w:szCs w:val="24"/>
        </w:rPr>
        <w:t>přístupu „design pro všechny“</w:t>
      </w:r>
      <w:r>
        <w:rPr>
          <w:rFonts w:ascii="EC Square Sans Pro Light" w:hAnsi="EC Square Sans Pro Light"/>
          <w:noProof/>
          <w:sz w:val="24"/>
          <w:szCs w:val="24"/>
        </w:rPr>
        <w:t>, jehož cílem je odstranění překážek, které znesnadňují přístup k zastavěnému a virtuálnímu prostředí a ke zboží a službám.</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Nový evropský Bauhaus se jednoznačně zaměřuje nejen na centra velkých měst</w:t>
      </w:r>
      <w:r>
        <w:rPr>
          <w:rFonts w:ascii="EC Square Sans Pro Light" w:hAnsi="EC Square Sans Pro Light"/>
          <w:noProof/>
          <w:sz w:val="24"/>
        </w:rPr>
        <w:t xml:space="preserve">, ale </w:t>
      </w:r>
      <w:r>
        <w:rPr>
          <w:rFonts w:ascii="EC Square Sans Pro Light" w:hAnsi="EC Square Sans Pro Light"/>
          <w:noProof/>
          <w:sz w:val="24"/>
          <w:szCs w:val="24"/>
        </w:rPr>
        <w:t xml:space="preserve">na veškeré rozmanité typy prostředí včetně malých vesnic, venkovských oblastí, měst s klesající populací, degradovaných městských částí a deindustrializovaných oblastí. To vyžaduje, aby územní rozvoj </w:t>
      </w:r>
      <w:r>
        <w:rPr>
          <w:rFonts w:ascii="EC Square Sans Pro Light" w:hAnsi="EC Square Sans Pro Light"/>
          <w:b/>
          <w:noProof/>
          <w:sz w:val="24"/>
          <w:szCs w:val="24"/>
        </w:rPr>
        <w:t>bránil územní segregaci</w:t>
      </w:r>
      <w:r>
        <w:rPr>
          <w:rFonts w:ascii="EC Square Sans Pro Light" w:hAnsi="EC Square Sans Pro Light"/>
          <w:noProof/>
          <w:sz w:val="24"/>
          <w:szCs w:val="24"/>
        </w:rPr>
        <w:t xml:space="preserve"> sociálních skupin, aby v daných oblastech mohl vznikat </w:t>
      </w:r>
      <w:r>
        <w:rPr>
          <w:rFonts w:ascii="EC Square Sans Pro Light" w:hAnsi="EC Square Sans Pro Light"/>
          <w:b/>
          <w:noProof/>
          <w:sz w:val="24"/>
          <w:szCs w:val="24"/>
        </w:rPr>
        <w:t>pocit sounáležitosti</w:t>
      </w:r>
      <w:r>
        <w:rPr>
          <w:rFonts w:ascii="EC Square Sans Pro Light" w:hAnsi="EC Square Sans Pro Light"/>
          <w:noProof/>
          <w:sz w:val="24"/>
          <w:szCs w:val="24"/>
        </w:rPr>
        <w:t xml:space="preserve">. Jednotlivé části města, vesnice nebo čtvrti by měly být propojeny. Je třeba řešit chybějící </w:t>
      </w:r>
      <w:r>
        <w:rPr>
          <w:rFonts w:ascii="EC Square Sans Pro Light" w:hAnsi="EC Square Sans Pro Light"/>
          <w:b/>
          <w:noProof/>
          <w:sz w:val="24"/>
          <w:szCs w:val="24"/>
        </w:rPr>
        <w:t>spojení mezi venkovskými a městskými oblastmi</w:t>
      </w:r>
      <w:r>
        <w:rPr>
          <w:rFonts w:ascii="EC Square Sans Pro Light" w:hAnsi="EC Square Sans Pro Light"/>
          <w:noProof/>
          <w:sz w:val="24"/>
          <w:szCs w:val="24"/>
        </w:rPr>
        <w:t xml:space="preserve">. Jak jsme všichni pocítili během pandemie COVID-19, zásadním předpokladem pro nezávislý život, přístup k informacím nebo účast na kulturních akcích je také </w:t>
      </w:r>
      <w:r>
        <w:rPr>
          <w:rFonts w:ascii="EC Square Sans Pro Light" w:hAnsi="EC Square Sans Pro Light"/>
          <w:b/>
          <w:noProof/>
          <w:sz w:val="24"/>
          <w:szCs w:val="24"/>
        </w:rPr>
        <w:t>digitální propojení lidí</w:t>
      </w:r>
      <w:r>
        <w:rPr>
          <w:rFonts w:ascii="EC Square Sans Pro Light" w:hAnsi="EC Square Sans Pro Light"/>
          <w:noProof/>
          <w:sz w:val="24"/>
          <w:szCs w:val="24"/>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Jak jsme všichni pocítili během pandemie COVID-19, zásadním předpokladem pro nezávislý život, aktivní účast na ekologické transformaci, přístup k informacím nebo účast na kulturních akcích je digitální propojení lidí</w:t>
      </w:r>
      <w:r>
        <w:rPr>
          <w:rStyle w:val="FootnoteReference"/>
          <w:rFonts w:ascii="EC Square Sans Pro Light" w:hAnsi="EC Square Sans Pro Light" w:cs="Times New Roman"/>
          <w:noProof/>
          <w:sz w:val="24"/>
          <w:szCs w:val="24"/>
          <w:lang w:val="en-IE"/>
        </w:rPr>
        <w:footnoteReference w:id="13"/>
      </w:r>
      <w:r>
        <w:rPr>
          <w:rFonts w:ascii="EC Square Sans Pro Light" w:hAnsi="EC Square Sans Pro Light"/>
          <w:noProof/>
          <w:sz w:val="24"/>
          <w:szCs w:val="24"/>
        </w:rPr>
        <w:t xml:space="preserve">.  </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lang w:val="en-GB" w:eastAsia="en-GB"/>
        </w:rPr>
        <w:drawing>
          <wp:inline distT="0" distB="0" distL="0" distR="0">
            <wp:extent cx="5731510" cy="14712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471295"/>
                    </a:xfrm>
                    <a:prstGeom prst="rect">
                      <a:avLst/>
                    </a:prstGeom>
                  </pic:spPr>
                </pic:pic>
              </a:graphicData>
            </a:graphic>
          </wp:inline>
        </w:drawing>
      </w:r>
    </w:p>
    <w:p w:rsidR="002F1537" w:rsidRDefault="002F1537">
      <w:pPr>
        <w:spacing w:after="150" w:line="276" w:lineRule="auto"/>
        <w:jc w:val="both"/>
        <w:rPr>
          <w:rFonts w:ascii="EC Square Sans Pro Light" w:hAnsi="EC Square Sans Pro Light" w:cs="Times New Roman"/>
          <w:noProof/>
          <w:sz w:val="24"/>
          <w:szCs w:val="24"/>
          <w:lang w:val="en-IE"/>
        </w:rPr>
      </w:pPr>
    </w:p>
    <w:p w:rsidR="002F1537" w:rsidRDefault="00D04A0B">
      <w:pPr>
        <w:pStyle w:val="Heading3"/>
        <w:rPr>
          <w:noProof/>
        </w:rPr>
      </w:pPr>
      <w:bookmarkStart w:id="16" w:name="_Toc82678675"/>
      <w:r>
        <w:rPr>
          <w:noProof/>
        </w:rPr>
        <w:t>V průmyslovém ekosystému je nutno uvažovat dlouhodobě, s přihlédnutím k životním cyklům.</w:t>
      </w:r>
      <w:bookmarkEnd w:id="16"/>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Respondenti ve fázi společného návrhu zdůraznili naprosto zřejmou potřebu </w:t>
      </w:r>
      <w:r>
        <w:rPr>
          <w:rFonts w:ascii="EC Square Sans Pro Light" w:hAnsi="EC Square Sans Pro Light"/>
          <w:b/>
          <w:noProof/>
          <w:sz w:val="24"/>
          <w:szCs w:val="24"/>
        </w:rPr>
        <w:t>řešit neudržitelné využívání zdrojů a odpadu</w:t>
      </w:r>
      <w:r>
        <w:rPr>
          <w:rFonts w:ascii="EC Square Sans Pro Light" w:hAnsi="EC Square Sans Pro Light"/>
          <w:noProof/>
          <w:sz w:val="24"/>
          <w:szCs w:val="24"/>
        </w:rPr>
        <w:t xml:space="preserve"> vyšším důrazem na oběhovost, včetně umožnění využití zastaralých budov a infrastruktury. Řešení těchto problémů se týká celého průmyslového ekosystému od výroby po dodávky a spotřebu, v němž je nutno uplatnit oběhový přístup.</w:t>
      </w: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Kdykoliv to bude proveditelné, mělo by se před výstavbou nových budou upřednostnit například opětovné využívání, regenerace, prodlužování životnosti a přeměna stávajících budov. . Novým standardem by se měl stát oběhový, udržitelný design a architektura.</w:t>
      </w:r>
    </w:p>
    <w:p w:rsidR="002F1537" w:rsidRDefault="00D04A0B">
      <w:pPr>
        <w:spacing w:after="150" w:line="276" w:lineRule="auto"/>
        <w:jc w:val="both"/>
        <w:rPr>
          <w:rFonts w:ascii="EC Square Sans Pro Light" w:hAnsi="EC Square Sans Pro Light" w:cs="Times New Roman"/>
          <w:noProof/>
          <w:sz w:val="24"/>
          <w:szCs w:val="24"/>
        </w:rPr>
      </w:pPr>
      <w:r>
        <w:rPr>
          <w:rStyle w:val="normaltextrun"/>
          <w:rFonts w:ascii="EC Square Sans Pro Light" w:hAnsi="EC Square Sans Pro Light"/>
          <w:noProof/>
          <w:sz w:val="24"/>
          <w:szCs w:val="24"/>
          <w:shd w:val="clear" w:color="auto" w:fill="FFFFFF"/>
        </w:rPr>
        <w:t>Všechny příslušné obory by měly více využívat zpětně získané a obnovitelné materiály, které</w:t>
      </w:r>
      <w:r>
        <w:rPr>
          <w:rStyle w:val="normaltextrun"/>
          <w:rFonts w:ascii="Calibri" w:hAnsi="Calibri"/>
          <w:noProof/>
          <w:sz w:val="24"/>
          <w:szCs w:val="24"/>
          <w:shd w:val="clear" w:color="auto" w:fill="FFFFFF"/>
        </w:rPr>
        <w:t xml:space="preserve"> </w:t>
      </w:r>
      <w:r>
        <w:rPr>
          <w:rStyle w:val="normaltextrun"/>
          <w:rFonts w:ascii="EC Square Sans Pro Light" w:hAnsi="EC Square Sans Pro Light"/>
          <w:noProof/>
          <w:sz w:val="24"/>
          <w:szCs w:val="24"/>
          <w:shd w:val="clear" w:color="auto" w:fill="FFFFFF"/>
        </w:rPr>
        <w:t xml:space="preserve">by se měly stát běžnou součástí paradigmat designu. </w:t>
      </w:r>
      <w:r>
        <w:rPr>
          <w:rFonts w:ascii="EC Square Sans Pro Light" w:hAnsi="EC Square Sans Pro Light"/>
          <w:noProof/>
          <w:sz w:val="24"/>
          <w:szCs w:val="24"/>
        </w:rPr>
        <w:t>Mělo by se zlepšit využívání udržitelně vyráběných a pořizovaných stavebních materiálů z přírodních zdrojů, jako je dřevo, bambus, sláma, korek nebo kámen. Zároveň by nové výrobní technologie měly pomoci snížit uhlíkovou stopu oceli či betonu, recyklovat opotřebené textilní výrobky, které by jinak neměly další využití, a urychlit ekologickou transformaci energeticky náročných průmyslových odvětví.</w:t>
      </w:r>
    </w:p>
    <w:p w:rsidR="002F1537" w:rsidRDefault="00D04A0B">
      <w:pPr>
        <w:spacing w:after="0" w:line="276" w:lineRule="auto"/>
        <w:jc w:val="both"/>
        <w:textAlignment w:val="baseline"/>
        <w:rPr>
          <w:rFonts w:ascii="EC Square Sans Pro Light" w:hAnsi="EC Square Sans Pro Light" w:cs="Times New Roman"/>
          <w:noProof/>
          <w:sz w:val="24"/>
          <w:szCs w:val="24"/>
        </w:rPr>
      </w:pPr>
      <w:r>
        <w:rPr>
          <w:rFonts w:ascii="EC Square Sans Pro Light" w:hAnsi="EC Square Sans Pro Light"/>
          <w:noProof/>
          <w:sz w:val="24"/>
          <w:szCs w:val="24"/>
        </w:rPr>
        <w:t>Nové obchodní modely, bioekonomika, přístupy sociální ekonomiky a „design pro udržitelnost“</w:t>
      </w:r>
      <w:r>
        <w:rPr>
          <w:rStyle w:val="FootnoteReference"/>
          <w:rFonts w:ascii="EC Square Sans Pro Light" w:eastAsia="Times New Roman" w:hAnsi="EC Square Sans Pro Light" w:cs="Times New Roman"/>
          <w:noProof/>
          <w:sz w:val="24"/>
          <w:szCs w:val="24"/>
          <w:lang w:eastAsia="en-GB"/>
        </w:rPr>
        <w:footnoteReference w:id="14"/>
      </w:r>
      <w:r>
        <w:rPr>
          <w:rFonts w:ascii="EC Square Sans Pro Light" w:hAnsi="EC Square Sans Pro Light"/>
          <w:noProof/>
          <w:sz w:val="24"/>
          <w:szCs w:val="24"/>
        </w:rPr>
        <w:t xml:space="preserve"> mohou podpořit transformaci odvětví, jako je textilní průmysl, cestovní ruch, nakládání s odpady nebo výroba energie. </w:t>
      </w:r>
      <w:r>
        <w:rPr>
          <w:rFonts w:ascii="EC Square Sans Pro Light" w:hAnsi="EC Square Sans Pro Light"/>
          <w:b/>
          <w:noProof/>
          <w:sz w:val="24"/>
          <w:szCs w:val="24"/>
        </w:rPr>
        <w:t>Digitální transformace</w:t>
      </w:r>
      <w:r>
        <w:rPr>
          <w:rFonts w:ascii="EC Square Sans Pro Light" w:hAnsi="EC Square Sans Pro Light"/>
          <w:noProof/>
          <w:sz w:val="24"/>
          <w:szCs w:val="24"/>
        </w:rPr>
        <w:t xml:space="preserve"> bude hrát systémovou úlohu při rozvoji a provádění Nového evropského Bauhausu. Digitální nástroje, např. 5G, umělá inteligence, nástroje založené na datech, robotika a technologie 3D tisku nebo digitální dvojčata ve stavebnictví, mohou zlepšit udržitelnost materiálů, výrobků a budov. </w:t>
      </w:r>
    </w:p>
    <w:p w:rsidR="002F1537" w:rsidRDefault="002F1537">
      <w:pPr>
        <w:spacing w:after="150" w:line="276" w:lineRule="auto"/>
        <w:jc w:val="both"/>
        <w:rPr>
          <w:rFonts w:ascii="EC Square Sans Pro Light" w:hAnsi="EC Square Sans Pro Light" w:cs="Times New Roman"/>
          <w:noProof/>
          <w:sz w:val="24"/>
          <w:szCs w:val="24"/>
        </w:rPr>
      </w:pPr>
    </w:p>
    <w:p w:rsidR="002F1537" w:rsidRDefault="00D04A0B">
      <w:pPr>
        <w:spacing w:after="15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lang w:val="en-GB" w:eastAsia="en-GB"/>
        </w:rPr>
        <w:drawing>
          <wp:inline distT="0" distB="0" distL="0" distR="0">
            <wp:extent cx="5731510" cy="150177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501775"/>
                    </a:xfrm>
                    <a:prstGeom prst="rect">
                      <a:avLst/>
                    </a:prstGeom>
                  </pic:spPr>
                </pic:pic>
              </a:graphicData>
            </a:graphic>
          </wp:inline>
        </w:drawing>
      </w:r>
    </w:p>
    <w:p w:rsidR="002F1537" w:rsidRDefault="00D04A0B">
      <w:pPr>
        <w:pStyle w:val="Heading1"/>
        <w:spacing w:line="276" w:lineRule="auto"/>
        <w:rPr>
          <w:rFonts w:ascii="EC Square Sans Pro Light" w:hAnsi="EC Square Sans Pro Light"/>
          <w:noProof/>
        </w:rPr>
      </w:pPr>
      <w:bookmarkStart w:id="17" w:name="_Toc82678676"/>
      <w:r>
        <w:rPr>
          <w:rFonts w:ascii="EC Square Sans Pro Light" w:hAnsi="EC Square Sans Pro Light"/>
          <w:noProof/>
        </w:rPr>
        <w:t>Realizace Nového evropského</w:t>
      </w:r>
      <w:r>
        <w:rPr>
          <w:rFonts w:ascii="Calibri" w:hAnsi="Calibri"/>
          <w:noProof/>
        </w:rPr>
        <w:t xml:space="preserve"> </w:t>
      </w:r>
      <w:r>
        <w:rPr>
          <w:rFonts w:ascii="EC Square Sans Pro Light" w:hAnsi="EC Square Sans Pro Light"/>
          <w:noProof/>
        </w:rPr>
        <w:t>Bauhausu</w:t>
      </w:r>
      <w:bookmarkEnd w:id="17"/>
      <w:r>
        <w:rPr>
          <w:rFonts w:ascii="EC Square Sans Pro Light" w:hAnsi="EC Square Sans Pro Light"/>
          <w:noProof/>
        </w:rPr>
        <w:t xml:space="preserve">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Komise chce ve spolupráci s Evropským parlamentem a ostatními orgány EU, jakož i s členskými státy vytvořit </w:t>
      </w:r>
      <w:r>
        <w:rPr>
          <w:rFonts w:ascii="EC Square Sans Pro Light" w:hAnsi="EC Square Sans Pro Light"/>
          <w:b/>
          <w:noProof/>
          <w:sz w:val="24"/>
          <w:szCs w:val="24"/>
        </w:rPr>
        <w:t>podpůrný rámec</w:t>
      </w:r>
      <w:r>
        <w:rPr>
          <w:rFonts w:ascii="EC Square Sans Pro Light" w:hAnsi="EC Square Sans Pro Light"/>
          <w:noProof/>
          <w:sz w:val="24"/>
          <w:szCs w:val="24"/>
        </w:rPr>
        <w:t xml:space="preserve"> Nového evropského Bauhausu, který bude zároveň v souladu s cíli udržitelného rozvoje a s příslušnými politikami a iniciativami EU. Tento podpůrný rámec má vytvořit prostor pro vývoj a testování politických a finančních nástrojů, jež umožní transformaci naší společnosti a hospodářství.</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cs="Times New Roman"/>
          <w:noProof/>
          <w:sz w:val="24"/>
          <w:szCs w:val="24"/>
          <w:lang w:val="en-GB" w:eastAsia="en-GB"/>
        </w:rPr>
        <w:drawing>
          <wp:inline distT="0" distB="0" distL="0" distR="0">
            <wp:extent cx="5731510" cy="2700965"/>
            <wp:effectExtent l="0" t="0" r="2540" b="4445"/>
            <wp:docPr id="10" name="Picture 10" descr="C:\Users\kratool\AppData\Local\CATE\DGT\Dossiers\JRC\JRC-2021-80014\JRC-2021-80014-04-00-CS-SRC-00\CS\ANNEX3_p3_Policies_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tool\AppData\Local\CATE\DGT\Dossiers\JRC\JRC-2021-80014\JRC-2021-80014-04-00-CS-SRC-00\CS\ANNEX3_p3_Policies_CS-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700965"/>
                    </a:xfrm>
                    <a:prstGeom prst="rect">
                      <a:avLst/>
                    </a:prstGeom>
                    <a:noFill/>
                    <a:ln>
                      <a:noFill/>
                    </a:ln>
                  </pic:spPr>
                </pic:pic>
              </a:graphicData>
            </a:graphic>
          </wp:inline>
        </w:drawing>
      </w:r>
    </w:p>
    <w:p w:rsidR="002F1537" w:rsidRDefault="00D04A0B">
      <w:pPr>
        <w:spacing w:line="276" w:lineRule="auto"/>
        <w:jc w:val="both"/>
        <w:rPr>
          <w:rFonts w:ascii="EC Square Sans Pro Light" w:hAnsi="EC Square Sans Pro Light"/>
          <w:noProof/>
          <w:sz w:val="24"/>
        </w:rPr>
      </w:pPr>
      <w:r>
        <w:rPr>
          <w:rFonts w:ascii="EC Square Sans Pro Light" w:hAnsi="EC Square Sans Pro Light"/>
          <w:noProof/>
          <w:sz w:val="24"/>
          <w:szCs w:val="24"/>
        </w:rPr>
        <w:t xml:space="preserve">Hlavním záměrem tohoto rámce je </w:t>
      </w:r>
      <w:r>
        <w:rPr>
          <w:rFonts w:ascii="EC Square Sans Pro Light" w:hAnsi="EC Square Sans Pro Light"/>
          <w:b/>
          <w:noProof/>
          <w:sz w:val="24"/>
          <w:szCs w:val="24"/>
        </w:rPr>
        <w:t>dosažení vyšší</w:t>
      </w:r>
      <w:r>
        <w:rPr>
          <w:rFonts w:ascii="EC Square Sans Pro Light" w:hAnsi="EC Square Sans Pro Light"/>
          <w:noProof/>
          <w:sz w:val="24"/>
          <w:szCs w:val="24"/>
        </w:rPr>
        <w:t xml:space="preserve"> efektivity </w:t>
      </w:r>
      <w:r>
        <w:rPr>
          <w:rFonts w:ascii="EC Square Sans Pro Light" w:hAnsi="EC Square Sans Pro Light"/>
          <w:b/>
          <w:noProof/>
          <w:sz w:val="24"/>
          <w:szCs w:val="24"/>
        </w:rPr>
        <w:t>politických a finančních nástrojů, které již máme k dispozici</w:t>
      </w:r>
      <w:r>
        <w:rPr>
          <w:rFonts w:ascii="EC Square Sans Pro Light" w:hAnsi="EC Square Sans Pro Light"/>
          <w:noProof/>
          <w:sz w:val="24"/>
          <w:szCs w:val="24"/>
        </w:rPr>
        <w:t xml:space="preserve">. EU by měla zintenzivnit </w:t>
      </w:r>
      <w:r>
        <w:rPr>
          <w:rFonts w:ascii="EC Square Sans Pro Light" w:hAnsi="EC Square Sans Pro Light"/>
          <w:b/>
          <w:noProof/>
          <w:sz w:val="24"/>
          <w:szCs w:val="24"/>
        </w:rPr>
        <w:t>synergie mezi svými stávajícími a plánovanými politikami a programy</w:t>
      </w:r>
      <w:r>
        <w:rPr>
          <w:rFonts w:ascii="EC Square Sans Pro Light" w:hAnsi="EC Square Sans Pro Light"/>
          <w:noProof/>
          <w:sz w:val="24"/>
          <w:szCs w:val="24"/>
        </w:rPr>
        <w:t>, aby mohly podpořit cíle Nového evropského Bauhausu. Všechny mohou přispět ke kulturnímu projektu, jehož záměrem je obohatit místa, kde žijeme, a náš způsob života o kombinaci udržitelnosti, inkluze a estetiky</w:t>
      </w:r>
      <w:r>
        <w:rPr>
          <w:rFonts w:ascii="EC Square Sans Pro Light" w:hAnsi="EC Square Sans Pro Light"/>
          <w:noProof/>
          <w:sz w:val="24"/>
        </w:rPr>
        <w:t>.</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Problémy, které v rámci Nového evropského Bauhausu vyvstávají, se nedají odpovídajícím způsobem řešit pouze prostřednictvím jednoho nástroje a jejich řešení se často nachází „na území nikoho“.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Dále Nový evropský Bauhaus zavádí také </w:t>
      </w:r>
      <w:r>
        <w:rPr>
          <w:rFonts w:ascii="EC Square Sans Pro Light" w:hAnsi="EC Square Sans Pro Light"/>
          <w:b/>
          <w:noProof/>
          <w:sz w:val="24"/>
          <w:szCs w:val="24"/>
        </w:rPr>
        <w:t>konkrétní zvláštní opatření</w:t>
      </w:r>
      <w:r>
        <w:rPr>
          <w:rFonts w:ascii="EC Square Sans Pro Light" w:hAnsi="EC Square Sans Pro Light"/>
          <w:noProof/>
          <w:sz w:val="24"/>
          <w:szCs w:val="24"/>
        </w:rPr>
        <w:t>, která pomohou transformaci uskutečnit.</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Tento první prováděcí rámec se bude vyvíjet s ohledem na výsledky, a to prostřednictvím opakovaných posouzení a přezkumů.</w:t>
      </w:r>
    </w:p>
    <w:p w:rsidR="002F1537" w:rsidRDefault="00D04A0B">
      <w:pPr>
        <w:pStyle w:val="Heading2"/>
        <w:rPr>
          <w:noProof/>
        </w:rPr>
      </w:pPr>
      <w:bookmarkStart w:id="18" w:name="_Toc82678677"/>
      <w:r>
        <w:rPr>
          <w:noProof/>
        </w:rPr>
        <w:t>Spolupráce s komunitou Nového evropského Bauhausu: Laboratoř</w:t>
      </w:r>
      <w:r>
        <w:rPr>
          <w:rFonts w:ascii="Calibri" w:hAnsi="Calibri"/>
          <w:noProof/>
        </w:rPr>
        <w:t xml:space="preserve"> </w:t>
      </w:r>
      <w:r>
        <w:rPr>
          <w:noProof/>
        </w:rPr>
        <w:t>NEB</w:t>
      </w:r>
      <w:bookmarkEnd w:id="18"/>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Na podporu provádění Nového evropského Bauhausu zřídí Komise </w:t>
      </w:r>
      <w:r>
        <w:rPr>
          <w:rFonts w:ascii="EC Square Sans Pro Light" w:hAnsi="EC Square Sans Pro Light"/>
          <w:b/>
          <w:noProof/>
          <w:sz w:val="24"/>
          <w:szCs w:val="24"/>
        </w:rPr>
        <w:t>„Laboratoř NEB“</w:t>
      </w:r>
      <w:r>
        <w:rPr>
          <w:rFonts w:ascii="EC Square Sans Pro Light" w:hAnsi="EC Square Sans Pro Light"/>
          <w:noProof/>
          <w:sz w:val="24"/>
          <w:szCs w:val="24"/>
        </w:rPr>
        <w:t xml:space="preserve">, tedy strategickou skupinu, která bude společně vytvářet, modelovat a testovat nástroje, řešení a politická opatření, jež transformaci usnadní v praxi. Tato Laboratoř bude fungovat jako urychlovací a pojící prvek iniciativy. </w:t>
      </w:r>
    </w:p>
    <w:p w:rsidR="002F1537" w:rsidRDefault="00D04A0B">
      <w:pPr>
        <w:spacing w:line="276" w:lineRule="auto"/>
        <w:jc w:val="both"/>
        <w:rPr>
          <w:rFonts w:ascii="EC Square Sans Pro Light" w:eastAsia="Calibri" w:hAnsi="EC Square Sans Pro Light" w:cs="Times New Roman"/>
          <w:noProof/>
          <w:sz w:val="24"/>
          <w:szCs w:val="24"/>
        </w:rPr>
      </w:pPr>
      <w:r>
        <w:rPr>
          <w:rFonts w:ascii="EC Square Sans Pro Light" w:hAnsi="EC Square Sans Pro Light"/>
          <w:noProof/>
          <w:sz w:val="24"/>
          <w:szCs w:val="24"/>
        </w:rPr>
        <w:t>Laboratoř, která v první fázi zahrnuje kulatý stůl na vysoké úrovni a oficiální partnery, bude komunitu okolo Nového evropského Bauhausu rozšiřovat o vznikající konkrétní projekty inspirované iniciativou (bez ohledu na to, zda jsou podporované z evropských fondů, či z jiných iniciativ) a bude je propojovat za účelem vzájemné podpory a výměny znalostí. Spojí se také se zavedenými komunitami, které se příslušnými tématy již zabývají, a za účelem překonání názorové izolace a testování možné spolupráce bude navazovat dialog s politiky, zástupci průmyslu i občany.</w:t>
      </w:r>
    </w:p>
    <w:p w:rsidR="002F1537" w:rsidRDefault="00D04A0B">
      <w:pPr>
        <w:spacing w:line="276" w:lineRule="auto"/>
        <w:jc w:val="both"/>
        <w:rPr>
          <w:rFonts w:ascii="EC Square Sans Pro Light" w:eastAsia="Calibri" w:hAnsi="EC Square Sans Pro Light" w:cs="Times New Roman"/>
          <w:noProof/>
          <w:sz w:val="24"/>
          <w:szCs w:val="24"/>
        </w:rPr>
      </w:pPr>
      <w:r>
        <w:rPr>
          <w:rFonts w:ascii="EC Square Sans Pro Light" w:hAnsi="EC Square Sans Pro Light"/>
          <w:noProof/>
          <w:sz w:val="24"/>
          <w:szCs w:val="24"/>
        </w:rPr>
        <w:t>Při zřizování podpůrné infrastruktury včetně digitální platformy vyzve Komise komunitu NEB ke spolupráci na vývoji konkrétních doporučení v rámci těchto témat:</w:t>
      </w:r>
    </w:p>
    <w:p w:rsidR="002F1537" w:rsidRDefault="00D04A0B">
      <w:pPr>
        <w:pStyle w:val="ListParagraph"/>
        <w:numPr>
          <w:ilvl w:val="0"/>
          <w:numId w:val="4"/>
        </w:numPr>
        <w:spacing w:line="276" w:lineRule="auto"/>
        <w:rPr>
          <w:rFonts w:ascii="EC Square Sans Pro Light" w:eastAsia="Calibri" w:hAnsi="EC Square Sans Pro Light" w:cs="Times New Roman"/>
          <w:noProof/>
          <w:szCs w:val="24"/>
        </w:rPr>
      </w:pPr>
      <w:r>
        <w:rPr>
          <w:rFonts w:ascii="EC Square Sans Pro Light" w:hAnsi="EC Square Sans Pro Light"/>
          <w:b/>
          <w:i/>
          <w:noProof/>
          <w:szCs w:val="24"/>
        </w:rPr>
        <w:t>Strategie pojmenování projektů:</w:t>
      </w:r>
      <w:r>
        <w:rPr>
          <w:rFonts w:ascii="EC Square Sans Pro Light" w:hAnsi="EC Square Sans Pro Light"/>
          <w:noProof/>
          <w:szCs w:val="24"/>
        </w:rPr>
        <w:t xml:space="preserve"> Jak charakterizovat a rozpoznat konkrétní iniciativy, jejichž cíle se shodují se záměry Nového evropského Bauhausu? Co z projektu dělá projekt Nového evropského Bauhausu? Jak lze označení EU „Nový evropský Bauhaus“ propojit s přístupem k financování projektů?</w:t>
      </w:r>
    </w:p>
    <w:p w:rsidR="002F1537" w:rsidRDefault="002F1537">
      <w:pPr>
        <w:pStyle w:val="ListParagraph"/>
        <w:spacing w:line="276" w:lineRule="auto"/>
        <w:rPr>
          <w:rFonts w:ascii="EC Square Sans Pro Light" w:eastAsia="Calibri" w:hAnsi="EC Square Sans Pro Light" w:cs="Times New Roman"/>
          <w:noProof/>
          <w:szCs w:val="24"/>
        </w:rPr>
      </w:pPr>
    </w:p>
    <w:p w:rsidR="002F1537" w:rsidRDefault="00D04A0B">
      <w:pPr>
        <w:pStyle w:val="ListParagraph"/>
        <w:numPr>
          <w:ilvl w:val="0"/>
          <w:numId w:val="4"/>
        </w:numPr>
        <w:spacing w:line="276" w:lineRule="auto"/>
        <w:rPr>
          <w:rFonts w:ascii="EC Square Sans Pro Light" w:eastAsia="Calibri" w:hAnsi="EC Square Sans Pro Light" w:cs="Times New Roman"/>
          <w:noProof/>
          <w:szCs w:val="24"/>
        </w:rPr>
      </w:pPr>
      <w:r>
        <w:rPr>
          <w:rFonts w:ascii="EC Square Sans Pro Light" w:hAnsi="EC Square Sans Pro Light"/>
          <w:b/>
          <w:i/>
          <w:noProof/>
          <w:szCs w:val="24"/>
        </w:rPr>
        <w:t>Inovativní financování:</w:t>
      </w:r>
      <w:r>
        <w:rPr>
          <w:rFonts w:ascii="EC Square Sans Pro Light" w:hAnsi="EC Square Sans Pro Light"/>
          <w:noProof/>
          <w:szCs w:val="24"/>
        </w:rPr>
        <w:t xml:space="preserve"> Lze za účelem oslovení iniciativ na místní úrovni a zkvalitnění výběru projektů kombinovat veřejné financování s crowdfundingem? Jaký přístup by mohl k podpoře projektů Nového evropského Bauhausu nejlépe mobilizovat financování ze soukromých zdrojů, a to i od filantropů? Jak motivovat investory v různých odvětvích (nemovitosti, turistická infrastruktura apod.), aby vzali za své cíle Nového evropského Bauhausu? Jak může Nový evropský Bauhaus podpořit sociální ekonomika?  </w:t>
      </w:r>
    </w:p>
    <w:p w:rsidR="002F1537" w:rsidRDefault="002F1537">
      <w:pPr>
        <w:pStyle w:val="ListParagraph"/>
        <w:spacing w:line="276" w:lineRule="auto"/>
        <w:rPr>
          <w:rFonts w:ascii="EC Square Sans Pro Light" w:eastAsia="Calibri" w:hAnsi="EC Square Sans Pro Light" w:cs="Times New Roman"/>
          <w:noProof/>
          <w:szCs w:val="24"/>
        </w:rPr>
      </w:pPr>
    </w:p>
    <w:p w:rsidR="002F1537" w:rsidRDefault="00D04A0B">
      <w:pPr>
        <w:pStyle w:val="ListParagraph"/>
        <w:numPr>
          <w:ilvl w:val="0"/>
          <w:numId w:val="4"/>
        </w:numPr>
        <w:spacing w:line="276" w:lineRule="auto"/>
        <w:rPr>
          <w:rFonts w:ascii="EC Square Sans Pro Light" w:eastAsia="Calibri" w:hAnsi="EC Square Sans Pro Light" w:cs="Times New Roman"/>
          <w:noProof/>
          <w:szCs w:val="24"/>
        </w:rPr>
      </w:pPr>
      <w:r>
        <w:rPr>
          <w:rFonts w:ascii="EC Square Sans Pro Light" w:hAnsi="EC Square Sans Pro Light"/>
          <w:b/>
          <w:i/>
          <w:noProof/>
          <w:szCs w:val="24"/>
        </w:rPr>
        <w:t>Analýza a testování regulatorních aspektů:</w:t>
      </w:r>
      <w:r>
        <w:rPr>
          <w:rFonts w:ascii="EC Square Sans Pro Light" w:hAnsi="EC Square Sans Pro Light"/>
          <w:noProof/>
          <w:szCs w:val="24"/>
        </w:rPr>
        <w:t xml:space="preserve"> Jak může regulatorní rámec podpořit rozvoj projektů Nového evropského Bauhausu v oblasti stavebnictví, energeticky náročného průmyslu, mobility, sociální a lokální ekonomiky, kulturních a kreativních odvětví, cestovního ruchu, textilního průmyslu? Jak může Nový evropský Bauhaus plně využít nový technologický vývoj včetně digitální transformace? Jaké překážky a problémy regulatorního rázu zbývá vyřešit? Jak může priority Nového evropského Bauhausu na evropské, vnitrostátní a regionální úrovni podpořit zjednodušení zadávání veřejných zakázek a právních předpisů? Lze ve spolupráci s členskými státy a místními orgány uvažovat o experimentálních regulatorních přístupech, které by umožnily otestovat nová regulatorní nastavení, jež by podpořila ambice v souladu s Novým evropským Bauhausem?</w:t>
      </w:r>
    </w:p>
    <w:p w:rsidR="002F1537" w:rsidRDefault="002F1537">
      <w:pPr>
        <w:pStyle w:val="ListParagraph"/>
        <w:rPr>
          <w:rFonts w:ascii="EC Square Sans Pro Light" w:eastAsia="Calibri" w:hAnsi="EC Square Sans Pro Light" w:cs="Times New Roman"/>
          <w:noProof/>
          <w:szCs w:val="24"/>
        </w:rPr>
      </w:pPr>
    </w:p>
    <w:p w:rsidR="002F1537" w:rsidRDefault="00D04A0B">
      <w:pPr>
        <w:pStyle w:val="ListParagraph"/>
        <w:numPr>
          <w:ilvl w:val="0"/>
          <w:numId w:val="4"/>
        </w:numPr>
        <w:spacing w:line="276" w:lineRule="auto"/>
        <w:rPr>
          <w:rFonts w:ascii="EC Square Sans Pro Light" w:eastAsia="Calibri" w:hAnsi="EC Square Sans Pro Light" w:cs="Times New Roman"/>
          <w:noProof/>
          <w:szCs w:val="24"/>
        </w:rPr>
      </w:pPr>
      <w:r>
        <w:rPr>
          <w:rFonts w:ascii="EC Square Sans Pro Light" w:hAnsi="EC Square Sans Pro Light"/>
          <w:b/>
          <w:i/>
          <w:noProof/>
          <w:szCs w:val="24"/>
        </w:rPr>
        <w:t>Klíčové ukazatele výkonnosti:</w:t>
      </w:r>
      <w:r>
        <w:rPr>
          <w:rFonts w:ascii="EC Square Sans Pro Light" w:hAnsi="EC Square Sans Pro Light"/>
          <w:noProof/>
          <w:szCs w:val="24"/>
        </w:rPr>
        <w:t xml:space="preserve"> Jak lze měřit úspěch Nového evropského Bauhausu v roce 2024 a v roce 2030? Jaké výstupy by měly vzejít z jednotlivých fází projektu? Jak můžeme výsledky smysluplně hodnotit? </w:t>
      </w:r>
    </w:p>
    <w:p w:rsidR="002F1537" w:rsidRDefault="00D04A0B">
      <w:pPr>
        <w:spacing w:line="276" w:lineRule="auto"/>
        <w:jc w:val="both"/>
        <w:rPr>
          <w:rFonts w:ascii="EC Square Sans Pro Light" w:eastAsia="Calibri" w:hAnsi="EC Square Sans Pro Light" w:cs="Times New Roman"/>
          <w:noProof/>
          <w:sz w:val="24"/>
          <w:szCs w:val="24"/>
        </w:rPr>
      </w:pPr>
      <w:r>
        <w:rPr>
          <w:rFonts w:ascii="EC Square Sans Pro Light" w:hAnsi="EC Square Sans Pro Light"/>
          <w:noProof/>
          <w:sz w:val="24"/>
          <w:szCs w:val="24"/>
        </w:rPr>
        <w:t>Komise bude na výsledky práce Laboratoře NEB navazovat dalšími kroky a iniciativami, jež zapojí rovněž členské státy, Evropský parlament, Výbor regionů a další partnery. Bude sledovat a analyzovat vývoj, usnadňovat propojení mezi zúčastněnými stranami, shromažďovat a vyhodnocovat pozitivní výsledky a poznatky. V neposlední řadě bude určovat nová témata, která by měla Laboratoř zkoumat, a postupně bude přispívat k přizpůsobení rámce podpory EU.</w:t>
      </w:r>
    </w:p>
    <w:p w:rsidR="002F1537" w:rsidRDefault="00D04A0B">
      <w:pPr>
        <w:pStyle w:val="Heading2"/>
        <w:rPr>
          <w:noProof/>
        </w:rPr>
      </w:pPr>
      <w:bookmarkStart w:id="19" w:name="_Toc82678678"/>
      <w:r>
        <w:rPr>
          <w:noProof/>
        </w:rPr>
        <w:t>Třístupňová transformace</w:t>
      </w:r>
      <w:bookmarkEnd w:id="19"/>
    </w:p>
    <w:p w:rsidR="002F1537" w:rsidRDefault="00D04A0B">
      <w:pPr>
        <w:spacing w:line="276" w:lineRule="auto"/>
        <w:jc w:val="both"/>
        <w:rPr>
          <w:rFonts w:ascii="EC Square Sans Pro Light" w:eastAsia="Times New Roman" w:hAnsi="EC Square Sans Pro Light" w:cs="Times New Roman"/>
          <w:noProof/>
          <w:sz w:val="24"/>
          <w:szCs w:val="24"/>
        </w:rPr>
      </w:pPr>
      <w:r>
        <w:rPr>
          <w:rFonts w:ascii="EC Square Sans Pro Light" w:hAnsi="EC Square Sans Pro Light"/>
          <w:noProof/>
          <w:sz w:val="24"/>
          <w:szCs w:val="24"/>
        </w:rPr>
        <w:t xml:space="preserve">Z početného souboru příspěvků, rozhovorů a esejí shromážděných během fáze společného návrhu vyplynuly tři základní oblasti, v nichž by měla být realizována konkrétní opatření: i) realizace změn v praxi </w:t>
      </w:r>
      <w:r>
        <w:rPr>
          <w:rFonts w:ascii="EC Square Sans Pro Light" w:hAnsi="EC Square Sans Pro Light"/>
          <w:i/>
          <w:iCs/>
          <w:noProof/>
          <w:sz w:val="24"/>
          <w:szCs w:val="24"/>
        </w:rPr>
        <w:t>na konkrétních místech</w:t>
      </w:r>
      <w:r>
        <w:rPr>
          <w:rFonts w:ascii="EC Square Sans Pro Light" w:hAnsi="EC Square Sans Pro Light"/>
          <w:noProof/>
          <w:sz w:val="24"/>
          <w:szCs w:val="24"/>
        </w:rPr>
        <w:t xml:space="preserve">, ii) potřeba </w:t>
      </w:r>
      <w:r>
        <w:rPr>
          <w:rFonts w:ascii="EC Square Sans Pro Light" w:hAnsi="EC Square Sans Pro Light"/>
          <w:i/>
          <w:iCs/>
          <w:noProof/>
          <w:sz w:val="24"/>
          <w:szCs w:val="24"/>
        </w:rPr>
        <w:t>nového přístupu</w:t>
      </w:r>
      <w:r>
        <w:rPr>
          <w:rFonts w:ascii="EC Square Sans Pro Light" w:hAnsi="EC Square Sans Pro Light"/>
          <w:noProof/>
          <w:sz w:val="24"/>
          <w:szCs w:val="24"/>
        </w:rPr>
        <w:t xml:space="preserve"> při uskutečňování inovací, tj. mimo jiné potřeba zlepšování dovedností a metod, a iii) potřeba přizpůsobit </w:t>
      </w:r>
      <w:r>
        <w:rPr>
          <w:rFonts w:ascii="EC Square Sans Pro Light" w:hAnsi="EC Square Sans Pro Light"/>
          <w:i/>
          <w:iCs/>
          <w:noProof/>
          <w:sz w:val="24"/>
          <w:szCs w:val="24"/>
        </w:rPr>
        <w:t>záměry a uvažování</w:t>
      </w:r>
      <w:r>
        <w:rPr>
          <w:rFonts w:ascii="EC Square Sans Pro Light" w:hAnsi="EC Square Sans Pro Light"/>
          <w:noProof/>
          <w:sz w:val="24"/>
          <w:szCs w:val="24"/>
        </w:rPr>
        <w:t>, jež jsou základem opatření</w:t>
      </w:r>
      <w:r>
        <w:rPr>
          <w:rFonts w:ascii="EC Square Sans Pro Light" w:eastAsia="Times New Roman" w:hAnsi="EC Square Sans Pro Light" w:cs="Times New Roman"/>
          <w:noProof/>
          <w:sz w:val="24"/>
          <w:szCs w:val="24"/>
          <w:vertAlign w:val="superscript"/>
          <w:lang w:eastAsia="en-GB"/>
        </w:rPr>
        <w:footnoteReference w:id="15"/>
      </w:r>
      <w:r>
        <w:rPr>
          <w:rFonts w:ascii="EC Square Sans Pro Light" w:hAnsi="EC Square Sans Pro Light"/>
          <w:noProof/>
          <w:sz w:val="24"/>
          <w:szCs w:val="24"/>
        </w:rPr>
        <w:t>. Z těchto tří oblastí vychází koncepce nástrojů podpory a financování.</w:t>
      </w:r>
    </w:p>
    <w:p w:rsidR="002F1537" w:rsidRDefault="00D04A0B">
      <w:pPr>
        <w:spacing w:line="276" w:lineRule="auto"/>
        <w:ind w:left="720"/>
        <w:jc w:val="both"/>
        <w:rPr>
          <w:rFonts w:ascii="EC Square Sans Pro Light" w:hAnsi="EC Square Sans Pro Light"/>
          <w:noProof/>
          <w:sz w:val="24"/>
          <w:szCs w:val="24"/>
        </w:rPr>
      </w:pPr>
      <w:r>
        <w:rPr>
          <w:rFonts w:ascii="EC Square Sans Pro Light" w:hAnsi="EC Square Sans Pro Light"/>
          <w:noProof/>
          <w:sz w:val="24"/>
          <w:szCs w:val="24"/>
        </w:rPr>
        <w:t xml:space="preserve">Pro nový evropský Bauhaus je klíčové vytvořit komunitu se společným záměrem a mít možnost prezentovat inovace. Komise tedy poprvé na jaře 2022 uspořádá </w:t>
      </w:r>
      <w:r>
        <w:rPr>
          <w:rFonts w:ascii="EC Square Sans Pro Light" w:hAnsi="EC Square Sans Pro Light"/>
          <w:b/>
          <w:bCs/>
          <w:noProof/>
          <w:sz w:val="24"/>
          <w:szCs w:val="24"/>
        </w:rPr>
        <w:t>Festival Nového evropského Bauhausu</w:t>
      </w:r>
      <w:r>
        <w:rPr>
          <w:rFonts w:ascii="EC Square Sans Pro Light" w:hAnsi="EC Square Sans Pro Light"/>
          <w:noProof/>
          <w:sz w:val="24"/>
          <w:szCs w:val="24"/>
        </w:rPr>
        <w:t>, který zviditelní tvůrce změn, umožní sdílení výsledků a pokroku a debatu o nich a podpoří zapojení občanů.</w:t>
      </w:r>
    </w:p>
    <w:p w:rsidR="002F1537" w:rsidRDefault="00D04A0B">
      <w:pPr>
        <w:spacing w:line="276" w:lineRule="auto"/>
        <w:ind w:left="720"/>
        <w:jc w:val="both"/>
        <w:rPr>
          <w:rFonts w:ascii="EC Square Sans Pro Light" w:hAnsi="EC Square Sans Pro Light"/>
          <w:noProof/>
          <w:sz w:val="24"/>
          <w:szCs w:val="24"/>
        </w:rPr>
      </w:pPr>
      <w:r>
        <w:rPr>
          <w:rFonts w:ascii="EC Square Sans Pro Light" w:hAnsi="EC Square Sans Pro Light"/>
          <w:noProof/>
          <w:sz w:val="24"/>
          <w:szCs w:val="24"/>
        </w:rPr>
        <w:t>Během tohoto setkání, které bude probíhat jak v podobě fyzické, tak virtuální, se celá komunita bude moci setkat, diskutovat, sdílet myšlenky, navzájem se vzdělávat a oslavovat úspěchy.</w:t>
      </w:r>
      <w:r>
        <w:rPr>
          <w:noProof/>
          <w:sz w:val="24"/>
          <w:szCs w:val="24"/>
        </w:rPr>
        <w:t xml:space="preserve"> </w:t>
      </w:r>
      <w:r>
        <w:rPr>
          <w:rFonts w:ascii="EC Square Sans Pro Light" w:hAnsi="EC Square Sans Pro Light"/>
          <w:noProof/>
          <w:sz w:val="24"/>
          <w:szCs w:val="24"/>
        </w:rPr>
        <w:t xml:space="preserve"> </w:t>
      </w:r>
    </w:p>
    <w:p w:rsidR="002F1537" w:rsidRDefault="00D04A0B">
      <w:pPr>
        <w:spacing w:line="276" w:lineRule="auto"/>
        <w:ind w:left="720"/>
        <w:jc w:val="both"/>
        <w:rPr>
          <w:rFonts w:ascii="EC Square Sans Pro Light" w:hAnsi="EC Square Sans Pro Light"/>
          <w:noProof/>
          <w:sz w:val="24"/>
          <w:szCs w:val="24"/>
        </w:rPr>
      </w:pPr>
      <w:r>
        <w:rPr>
          <w:rFonts w:ascii="EC Square Sans Pro Light" w:hAnsi="EC Square Sans Pro Light"/>
          <w:noProof/>
          <w:sz w:val="24"/>
          <w:szCs w:val="24"/>
        </w:rPr>
        <w:t xml:space="preserve">Festival bude mít tři součásti: </w:t>
      </w:r>
    </w:p>
    <w:p w:rsidR="002F1537" w:rsidRDefault="00D04A0B">
      <w:pPr>
        <w:pStyle w:val="ListParagraph"/>
        <w:numPr>
          <w:ilvl w:val="0"/>
          <w:numId w:val="44"/>
        </w:numPr>
        <w:spacing w:line="276" w:lineRule="auto"/>
        <w:ind w:left="1440"/>
        <w:rPr>
          <w:rFonts w:ascii="EC Square Sans Pro Light" w:hAnsi="EC Square Sans Pro Light"/>
          <w:noProof/>
          <w:szCs w:val="24"/>
        </w:rPr>
      </w:pPr>
      <w:r>
        <w:rPr>
          <w:rFonts w:ascii="EC Square Sans Pro Light" w:hAnsi="EC Square Sans Pro Light"/>
          <w:b/>
          <w:bCs/>
          <w:noProof/>
        </w:rPr>
        <w:t>Fórum</w:t>
      </w:r>
      <w:r>
        <w:rPr>
          <w:rFonts w:ascii="EC Square Sans Pro Light" w:hAnsi="EC Square Sans Pro Light"/>
          <w:noProof/>
        </w:rPr>
        <w:t xml:space="preserve">, jež bude platformou pro diskuse o podobě iniciativy. To poskytne myslitelům, tvůrcům politik a odborníkům z praxe z celého světa prostor k diskuzi o tématech od vědy a technologie po kulturu a vzdělávání, od regionálního a místního rozvoje až po mezinárodní perspektivy, </w:t>
      </w:r>
    </w:p>
    <w:p w:rsidR="002F1537" w:rsidRDefault="00D04A0B">
      <w:pPr>
        <w:pStyle w:val="ListParagraph"/>
        <w:numPr>
          <w:ilvl w:val="0"/>
          <w:numId w:val="44"/>
        </w:numPr>
        <w:spacing w:line="276" w:lineRule="auto"/>
        <w:ind w:left="1440"/>
        <w:rPr>
          <w:rFonts w:ascii="EC Square Sans Pro Light" w:hAnsi="EC Square Sans Pro Light"/>
          <w:noProof/>
          <w:sz w:val="20"/>
          <w:szCs w:val="20"/>
        </w:rPr>
      </w:pPr>
      <w:r>
        <w:rPr>
          <w:rFonts w:ascii="EC Square Sans Pro Light" w:hAnsi="EC Square Sans Pro Light"/>
          <w:b/>
          <w:bCs/>
          <w:noProof/>
        </w:rPr>
        <w:t>Veletrh</w:t>
      </w:r>
      <w:r>
        <w:rPr>
          <w:rFonts w:ascii="EC Square Sans Pro Light" w:hAnsi="EC Square Sans Pro Light"/>
          <w:noProof/>
        </w:rPr>
        <w:t>, v jehož rámci bude možno prezentovat projekty, prototypy a výstupy, které přispívají k NEB, a udělovat Cenu NEB,</w:t>
      </w:r>
    </w:p>
    <w:p w:rsidR="002F1537" w:rsidRDefault="00D04A0B">
      <w:pPr>
        <w:pStyle w:val="ListParagraph"/>
        <w:numPr>
          <w:ilvl w:val="0"/>
          <w:numId w:val="44"/>
        </w:numPr>
        <w:spacing w:line="276" w:lineRule="auto"/>
        <w:ind w:left="1440"/>
        <w:rPr>
          <w:rFonts w:ascii="EC Square Sans Pro Light" w:hAnsi="EC Square Sans Pro Light"/>
          <w:noProof/>
        </w:rPr>
      </w:pPr>
      <w:r>
        <w:rPr>
          <w:rFonts w:ascii="EC Square Sans Pro Light" w:hAnsi="EC Square Sans Pro Light"/>
          <w:b/>
          <w:bCs/>
          <w:noProof/>
        </w:rPr>
        <w:t>Festival</w:t>
      </w:r>
      <w:r>
        <w:rPr>
          <w:rFonts w:ascii="EC Square Sans Pro Light" w:hAnsi="EC Square Sans Pro Light"/>
          <w:noProof/>
        </w:rPr>
        <w:t xml:space="preserve"> s kulturním programem, který bude zahrnovat fyzické i virtuální výstavy, představení a umělecká díla.</w:t>
      </w:r>
    </w:p>
    <w:p w:rsidR="002F1537" w:rsidRDefault="00D04A0B">
      <w:pPr>
        <w:ind w:left="720"/>
        <w:rPr>
          <w:rFonts w:ascii="Calibri" w:hAnsi="Calibri"/>
          <w:noProof/>
        </w:rPr>
      </w:pPr>
      <w:r>
        <w:rPr>
          <w:rFonts w:ascii="EC Square Sans Pro Light" w:hAnsi="EC Square Sans Pro Light"/>
          <w:noProof/>
          <w:sz w:val="24"/>
          <w:szCs w:val="24"/>
        </w:rPr>
        <w:t>První ročník festivalu se bude konat v Bruselu a bude organizován a financován</w:t>
      </w:r>
      <w:r>
        <w:rPr>
          <w:noProof/>
          <w:sz w:val="24"/>
          <w:szCs w:val="24"/>
        </w:rPr>
        <w:t xml:space="preserve"> </w:t>
      </w:r>
      <w:r>
        <w:rPr>
          <w:rFonts w:ascii="EC Square Sans Pro Light" w:hAnsi="EC Square Sans Pro Light"/>
          <w:noProof/>
          <w:sz w:val="24"/>
          <w:szCs w:val="24"/>
        </w:rPr>
        <w:t>Evropskou komisí. Počínaje rokem 2023 Komise na základě zkušeností z prvního ročníku představí koncepci každoroční akce, která by měla v ideálním případě zahrnovat místa v EU i mimo ni.</w:t>
      </w:r>
    </w:p>
    <w:p w:rsidR="002F1537" w:rsidRDefault="00D04A0B">
      <w:pPr>
        <w:pStyle w:val="Heading3"/>
        <w:rPr>
          <w:noProof/>
        </w:rPr>
      </w:pPr>
      <w:bookmarkStart w:id="20" w:name="_Toc82678679"/>
      <w:r>
        <w:rPr>
          <w:noProof/>
        </w:rPr>
        <w:t>Transformace na konkrétních místech v praxi</w:t>
      </w:r>
      <w:bookmarkEnd w:id="20"/>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lang w:val="en-GB" w:eastAsia="en-GB"/>
        </w:rPr>
        <mc:AlternateContent>
          <mc:Choice Requires="wps">
            <w:drawing>
              <wp:anchor distT="45720" distB="45720" distL="114300" distR="114300" simplePos="0" relativeHeight="251659264" behindDoc="0" locked="0" layoutInCell="1" allowOverlap="0">
                <wp:simplePos x="0" y="0"/>
                <wp:positionH relativeFrom="column">
                  <wp:posOffset>1598062</wp:posOffset>
                </wp:positionH>
                <wp:positionV relativeFrom="page">
                  <wp:posOffset>3117481</wp:posOffset>
                </wp:positionV>
                <wp:extent cx="4114800" cy="289080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890800"/>
                        </a:xfrm>
                        <a:prstGeom prst="rect">
                          <a:avLst/>
                        </a:prstGeom>
                        <a:solidFill>
                          <a:srgbClr val="FFFFFF"/>
                        </a:solidFill>
                        <a:ln w="9525">
                          <a:solidFill>
                            <a:schemeClr val="accent1">
                              <a:lumMod val="40000"/>
                              <a:lumOff val="60000"/>
                            </a:schemeClr>
                          </a:solidFill>
                          <a:miter lim="800000"/>
                          <a:headEnd/>
                          <a:tailEnd/>
                        </a:ln>
                      </wps:spPr>
                      <wps:txbx>
                        <w:txbxContent>
                          <w:p w:rsidR="002F1537" w:rsidRDefault="00D04A0B">
                            <w:pPr>
                              <w:rPr>
                                <w:rFonts w:ascii="EC Square Sans Pro Light" w:hAnsi="EC Square Sans Pro Light" w:cs="Times New Roman"/>
                                <w:b/>
                                <w:i/>
                                <w:sz w:val="24"/>
                              </w:rPr>
                            </w:pPr>
                            <w:r>
                              <w:rPr>
                                <w:rFonts w:ascii="EC Square Sans Pro Light" w:hAnsi="EC Square Sans Pro Light"/>
                                <w:b/>
                                <w:i/>
                                <w:sz w:val="24"/>
                              </w:rPr>
                              <w:t>Strategie Komise v oblasti výstavby</w:t>
                            </w:r>
                          </w:p>
                          <w:p w:rsidR="002F1537" w:rsidRDefault="00D04A0B">
                            <w:pPr>
                              <w:jc w:val="both"/>
                              <w:rPr>
                                <w:rFonts w:ascii="Times New Roman" w:hAnsi="Times New Roman" w:cs="Times New Roman"/>
                                <w:i/>
                                <w:sz w:val="24"/>
                              </w:rPr>
                            </w:pPr>
                            <w:r>
                              <w:rPr>
                                <w:rFonts w:ascii="EC Square Sans Pro Light" w:hAnsi="EC Square Sans Pro Light"/>
                                <w:i/>
                                <w:sz w:val="24"/>
                              </w:rPr>
                              <w:t xml:space="preserve"> </w:t>
                            </w:r>
                            <w:r>
                              <w:rPr>
                                <w:rFonts w:ascii="Times New Roman" w:hAnsi="Times New Roman"/>
                                <w:i/>
                                <w:sz w:val="24"/>
                              </w:rPr>
                              <w:t xml:space="preserve">Zároveň se zaváděním Nového evropského Bauhausu a jeho opatření Komise začala také uplatňovat všechny tři jeho rozměry v místech, kde sídlí její útvary. V Bruselu budou hodnoty iniciativy uplatněny při renovaci návštěvnického centra Komise, Komise také nabídne příslušným úřadům Bruselského regionu partnerskou spolupráci při navrhování nové evropské čtvrti. Konzultace ohledně evropské čtvrti, které mají být zahájeny na podzim roku 2021, zajistí také dialog s občany. </w:t>
                            </w:r>
                            <w:r>
                              <w:rPr>
                                <w:rFonts w:ascii="Times New Roman" w:hAnsi="Times New Roman"/>
                                <w:i/>
                                <w:iCs/>
                                <w:sz w:val="24"/>
                                <w:szCs w:val="24"/>
                              </w:rPr>
                              <w:t>Hodnoty Nového evropského Bauhausu budou realizovány rovněž v nových projektech výstavby a renovace navrhovaných Komisí pro pracoviště Společného výzkumného střediska v Seville a Geelu</w:t>
                            </w:r>
                            <w:r>
                              <w:rPr>
                                <w:rFonts w:ascii="Times New Roman" w:hAnsi="Times New Roman"/>
                                <w:i/>
                                <w:sz w:val="24"/>
                              </w:rPr>
                              <w:t xml:space="preserve">. </w:t>
                            </w:r>
                          </w:p>
                          <w:p w:rsidR="002F1537" w:rsidRDefault="002F1537">
                            <w:pPr>
                              <w:jc w:val="both"/>
                              <w:rPr>
                                <w:rFonts w:ascii="EC Square Sans Pro Light" w:hAnsi="EC Square Sans Pro Light" w:cs="Times New Roman"/>
                                <w:i/>
                                <w:sz w:val="24"/>
                              </w:rPr>
                            </w:pPr>
                          </w:p>
                          <w:p w:rsidR="002F1537" w:rsidRDefault="002F1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85pt;margin-top:245.45pt;width:324pt;height:227.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" o:allowoverlap="f" strokecolor="#bdd6ee [1300]">
                <v:textbox>
                  <w:txbxContent>
                    <w:p w:rsidR="002F1537" w:rsidRDefault="00D04A0B">
                      <w:pPr>
                        <w:rPr>
                          <w:rFonts w:ascii="EC Square Sans Pro Light" w:hAnsi="EC Square Sans Pro Light" w:cs="Times New Roman"/>
                          <w:b/>
                          <w:i/>
                          <w:sz w:val="24"/>
                        </w:rPr>
                      </w:pPr>
                      <w:r>
                        <w:rPr>
                          <w:rFonts w:ascii="EC Square Sans Pro Light" w:hAnsi="EC Square Sans Pro Light"/>
                          <w:b/>
                          <w:i/>
                          <w:sz w:val="24"/>
                        </w:rPr>
                        <w:t>Strategie Komise v oblasti výstavby</w:t>
                      </w:r>
                    </w:p>
                    <w:p w:rsidR="002F1537" w:rsidRDefault="00D04A0B">
                      <w:pPr>
                        <w:jc w:val="both"/>
                        <w:rPr>
                          <w:rFonts w:ascii="Times New Roman" w:hAnsi="Times New Roman" w:cs="Times New Roman"/>
                          <w:i/>
                          <w:sz w:val="24"/>
                        </w:rPr>
                      </w:pPr>
                      <w:r>
                        <w:rPr>
                          <w:rFonts w:ascii="EC Square Sans Pro Light" w:hAnsi="EC Square Sans Pro Light"/>
                          <w:i/>
                          <w:sz w:val="24"/>
                        </w:rPr>
                        <w:t xml:space="preserve"> </w:t>
                      </w:r>
                      <w:r>
                        <w:rPr>
                          <w:rFonts w:ascii="Times New Roman" w:hAnsi="Times New Roman"/>
                          <w:i/>
                          <w:sz w:val="24"/>
                        </w:rPr>
                        <w:t xml:space="preserve">Zároveň se zaváděním Nového evropského Bauhausu a jeho opatření Komise začala také uplatňovat všechny tři jeho rozměry v místech, kde sídlí její útvary. V Bruselu budou hodnoty iniciativy uplatněny při renovaci návštěvnického centra Komise, Komise také nabídne příslušným úřadům Bruselského regionu partnerskou spolupráci při navrhování nové evropské čtvrti. Konzultace ohledně evropské čtvrti, které mají být zahájeny na podzim roku 2021, zajistí také dialog s občany. </w:t>
                      </w:r>
                      <w:r>
                        <w:rPr>
                          <w:rFonts w:ascii="Times New Roman" w:hAnsi="Times New Roman"/>
                          <w:i/>
                          <w:iCs/>
                          <w:sz w:val="24"/>
                          <w:szCs w:val="24"/>
                        </w:rPr>
                        <w:t>Hodnoty Nového evropského Bauhausu budou realizovány rovněž v nových projektech výstavby a renovace navrhovaných Komisí pro pracoviště Společného výzkumného střediska v Seville a Geelu</w:t>
                      </w:r>
                      <w:r>
                        <w:rPr>
                          <w:rFonts w:ascii="Times New Roman" w:hAnsi="Times New Roman"/>
                          <w:i/>
                          <w:sz w:val="24"/>
                        </w:rPr>
                        <w:t xml:space="preserve">. </w:t>
                      </w:r>
                    </w:p>
                    <w:p w:rsidR="002F1537" w:rsidRDefault="002F1537">
                      <w:pPr>
                        <w:jc w:val="both"/>
                        <w:rPr>
                          <w:rFonts w:ascii="EC Square Sans Pro Light" w:hAnsi="EC Square Sans Pro Light" w:cs="Times New Roman"/>
                          <w:i/>
                          <w:sz w:val="24"/>
                        </w:rPr>
                      </w:pPr>
                    </w:p>
                    <w:p w:rsidR="002F1537" w:rsidRDefault="002F1537"/>
                  </w:txbxContent>
                </v:textbox>
                <w10:wrap type="square" anchory="page"/>
              </v:shape>
            </w:pict>
          </mc:Fallback>
        </mc:AlternateContent>
      </w:r>
      <w:r>
        <w:rPr>
          <w:rFonts w:ascii="EC Square Sans Pro Light" w:hAnsi="EC Square Sans Pro Light"/>
          <w:noProof/>
          <w:sz w:val="24"/>
          <w:szCs w:val="24"/>
        </w:rPr>
        <w:t>Změny by se měly týkat co nejvíce konkrétních míst, a to jak konkrétních domů, čtvrtí, městských i venkovských oblastí, fyzického i virtuálního prostoru určeného k setkávání. Aby byla realizace Nového evropského Bauhausu úspěšná, je potřeba efektivně sdílet inovativní a reprezentativní projekty a učit se z nich. Propagace takových „pilotních demonstračních projektů“ inspiruje a motivuje další aktéry k tomu, aby se vydali v jejich stopách. Zároveň právě od místních malých aktérů často nové iniciativy vycházejí, a malým projektům je tedy také nutno poskytovat podporu.</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b/>
          <w:noProof/>
          <w:sz w:val="24"/>
          <w:szCs w:val="24"/>
        </w:rPr>
      </w:pPr>
      <w:r>
        <w:rPr>
          <w:rFonts w:ascii="EC Square Sans Pro Light" w:hAnsi="EC Square Sans Pro Light"/>
          <w:b/>
          <w:noProof/>
          <w:sz w:val="24"/>
          <w:szCs w:val="24"/>
        </w:rPr>
        <w:t xml:space="preserve">Jak bude Evropská komise iniciativu podporovat?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b/>
          <w:noProof/>
          <w:sz w:val="24"/>
          <w:szCs w:val="24"/>
        </w:rPr>
      </w:pPr>
      <w:r>
        <w:rPr>
          <w:rFonts w:ascii="EC Square Sans Pro Light" w:hAnsi="EC Square Sans Pro Light"/>
          <w:noProof/>
          <w:sz w:val="24"/>
          <w:szCs w:val="24"/>
        </w:rPr>
        <w:t xml:space="preserve">– od září 2021 bude vyhlašovat výzvy k předkládání návrhů, z nichž bude </w:t>
      </w:r>
      <w:r>
        <w:rPr>
          <w:rFonts w:ascii="EC Square Sans Pro Light" w:hAnsi="EC Square Sans Pro Light"/>
          <w:b/>
          <w:noProof/>
          <w:sz w:val="24"/>
          <w:szCs w:val="24"/>
        </w:rPr>
        <w:t>vybírat inovativní pilotní projekty</w:t>
      </w:r>
      <w:r>
        <w:rPr>
          <w:rFonts w:ascii="EC Square Sans Pro Light" w:hAnsi="EC Square Sans Pro Light"/>
          <w:noProof/>
          <w:sz w:val="24"/>
          <w:szCs w:val="24"/>
        </w:rPr>
        <w:t xml:space="preserve">, které reprezentují hodnoty Nového evropského Bauhausu, včetně specializovaných výzev v rámci programu Horizont Evropa zaměřených na </w:t>
      </w:r>
      <w:r>
        <w:rPr>
          <w:rFonts w:ascii="EC Square Sans Pro Light" w:hAnsi="EC Square Sans Pro Light"/>
          <w:b/>
          <w:noProof/>
          <w:sz w:val="24"/>
          <w:szCs w:val="24"/>
        </w:rPr>
        <w:t>demonstrační majákové projekty</w:t>
      </w:r>
      <w:r>
        <w:rPr>
          <w:rFonts w:ascii="EC Square Sans Pro Light" w:hAnsi="EC Square Sans Pro Light"/>
          <w:noProof/>
          <w:sz w:val="24"/>
          <w:szCs w:val="24"/>
        </w:rPr>
        <w:t xml:space="preserve"> a </w:t>
      </w:r>
      <w:r>
        <w:rPr>
          <w:rFonts w:ascii="EC Square Sans Pro Light" w:hAnsi="EC Square Sans Pro Light"/>
          <w:b/>
          <w:noProof/>
          <w:sz w:val="24"/>
          <w:szCs w:val="24"/>
        </w:rPr>
        <w:t xml:space="preserve">demonstrační projekty sociálního, cenově dostupného a udržitelného bydlení. </w:t>
      </w:r>
      <w:r>
        <w:rPr>
          <w:rFonts w:ascii="EC Square Sans Pro Light" w:hAnsi="EC Square Sans Pro Light"/>
          <w:noProof/>
          <w:sz w:val="24"/>
          <w:szCs w:val="24"/>
        </w:rPr>
        <w:t xml:space="preserve">V roce 2022 podpoří další demonstrační projekty Nového evropského Bauhausu </w:t>
      </w:r>
      <w:r>
        <w:rPr>
          <w:rFonts w:ascii="EC Square Sans Pro Light" w:hAnsi="EC Square Sans Pro Light"/>
          <w:b/>
          <w:noProof/>
          <w:sz w:val="24"/>
          <w:szCs w:val="24"/>
        </w:rPr>
        <w:t>Evropská městská iniciativa</w:t>
      </w:r>
      <w:r>
        <w:rPr>
          <w:rStyle w:val="FootnoteReference"/>
          <w:rFonts w:ascii="EC Square Sans Pro Light" w:hAnsi="EC Square Sans Pro Light" w:cs="Times New Roman"/>
          <w:b/>
          <w:noProof/>
          <w:sz w:val="24"/>
          <w:szCs w:val="24"/>
        </w:rPr>
        <w:footnoteReference w:id="16"/>
      </w:r>
      <w:r>
        <w:rPr>
          <w:rFonts w:ascii="EC Square Sans Pro Light" w:hAnsi="EC Square Sans Pro Light"/>
          <w:b/>
          <w:noProof/>
          <w:sz w:val="24"/>
          <w:szCs w:val="24"/>
        </w:rPr>
        <w:t xml:space="preserve"> v rámci politiky soudržnosti.</w:t>
      </w:r>
      <w:r>
        <w:rPr>
          <w:rFonts w:ascii="EC Square Sans Pro Light" w:hAnsi="EC Square Sans Pro Light"/>
          <w:b/>
          <w:noProof/>
          <w:sz w:val="24"/>
        </w:rPr>
        <w:t xml:space="preserve"> </w:t>
      </w:r>
      <w:r>
        <w:rPr>
          <w:rFonts w:ascii="EC Square Sans Pro Light" w:hAnsi="EC Square Sans Pro Light"/>
          <w:noProof/>
          <w:sz w:val="24"/>
          <w:szCs w:val="24"/>
        </w:rPr>
        <w:t>Po roce 2022</w:t>
      </w:r>
      <w:r>
        <w:rPr>
          <w:rFonts w:ascii="EC Square Sans Pro Light" w:hAnsi="EC Square Sans Pro Light"/>
          <w:b/>
          <w:noProof/>
          <w:sz w:val="24"/>
          <w:szCs w:val="24"/>
        </w:rPr>
        <w:t xml:space="preserve"> </w:t>
      </w:r>
      <w:r>
        <w:rPr>
          <w:rFonts w:ascii="EC Square Sans Pro Light" w:hAnsi="EC Square Sans Pro Light"/>
          <w:noProof/>
          <w:sz w:val="24"/>
          <w:szCs w:val="24"/>
        </w:rPr>
        <w:t>bude tento přístup pokračovat</w:t>
      </w:r>
      <w:r>
        <w:rPr>
          <w:rFonts w:ascii="EC Square Sans Pro Light" w:hAnsi="EC Square Sans Pro Light"/>
          <w:b/>
          <w:noProof/>
          <w:sz w:val="24"/>
          <w:szCs w:val="24"/>
        </w:rPr>
        <w:t xml:space="preserve"> </w:t>
      </w:r>
      <w:r>
        <w:rPr>
          <w:rFonts w:ascii="EC Square Sans Pro Light" w:hAnsi="EC Square Sans Pro Light"/>
          <w:noProof/>
          <w:sz w:val="24"/>
          <w:szCs w:val="24"/>
        </w:rPr>
        <w:t xml:space="preserve">prostřednictvím synergií s aktivitami v rámci </w:t>
      </w:r>
      <w:r>
        <w:rPr>
          <w:rFonts w:ascii="EC Square Sans Pro Light" w:hAnsi="EC Square Sans Pro Light"/>
          <w:b/>
          <w:noProof/>
          <w:sz w:val="24"/>
          <w:szCs w:val="24"/>
        </w:rPr>
        <w:t>misí programu Horizont Evropa</w:t>
      </w:r>
      <w:r>
        <w:rPr>
          <w:rStyle w:val="FootnoteReference"/>
          <w:rFonts w:ascii="EC Square Sans Pro Light" w:hAnsi="EC Square Sans Pro Light" w:cs="Times New Roman"/>
          <w:b/>
          <w:noProof/>
          <w:sz w:val="24"/>
          <w:szCs w:val="24"/>
        </w:rPr>
        <w:footnoteReference w:id="17"/>
      </w:r>
      <w:r>
        <w:rPr>
          <w:rFonts w:ascii="EC Square Sans Pro Light" w:hAnsi="EC Square Sans Pro Light"/>
          <w:b/>
          <w:noProof/>
          <w:sz w:val="24"/>
          <w:szCs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color w:val="000000"/>
          <w:sz w:val="24"/>
          <w:szCs w:val="24"/>
          <w:highlight w:val="yellow"/>
        </w:rPr>
      </w:pPr>
      <w:r>
        <w:rPr>
          <w:rFonts w:ascii="EC Square Sans Pro Light" w:hAnsi="EC Square Sans Pro Light"/>
          <w:noProof/>
          <w:sz w:val="24"/>
          <w:szCs w:val="24"/>
        </w:rPr>
        <w:t xml:space="preserve">– bude poskytovat </w:t>
      </w:r>
      <w:r>
        <w:rPr>
          <w:rFonts w:ascii="EC Square Sans Pro Light" w:hAnsi="EC Square Sans Pro Light"/>
          <w:b/>
          <w:noProof/>
          <w:sz w:val="24"/>
          <w:szCs w:val="24"/>
        </w:rPr>
        <w:t>technickou pomoc</w:t>
      </w:r>
      <w:r>
        <w:rPr>
          <w:rFonts w:ascii="EC Square Sans Pro Light" w:hAnsi="EC Square Sans Pro Light"/>
          <w:noProof/>
          <w:sz w:val="24"/>
          <w:szCs w:val="24"/>
        </w:rPr>
        <w:t xml:space="preserve"> při vývoji a realizaci projektů Nového evropského Bauhausu zúčastněným stranám, např. regionálním a místním správním orgánům, přičemž se zaměří zejména na </w:t>
      </w:r>
      <w:r>
        <w:rPr>
          <w:rStyle w:val="normaltextrun"/>
          <w:rFonts w:ascii="EC Square Sans Pro Light" w:hAnsi="EC Square Sans Pro Light"/>
          <w:noProof/>
          <w:color w:val="000000"/>
          <w:sz w:val="24"/>
          <w:szCs w:val="24"/>
        </w:rPr>
        <w:t>zapojování občanů</w:t>
      </w:r>
      <w:r>
        <w:rPr>
          <w:rFonts w:ascii="EC Square Sans Pro Light" w:hAnsi="EC Square Sans Pro Light"/>
          <w:noProof/>
          <w:sz w:val="24"/>
          <w:szCs w:val="24"/>
        </w:rPr>
        <w:t xml:space="preserve"> a </w:t>
      </w:r>
      <w:r>
        <w:rPr>
          <w:rFonts w:ascii="EC Square Sans Pro Light" w:hAnsi="EC Square Sans Pro Light"/>
          <w:noProof/>
          <w:color w:val="000000"/>
          <w:sz w:val="24"/>
          <w:szCs w:val="24"/>
        </w:rPr>
        <w:t>interdisciplinární metody inkubace</w:t>
      </w:r>
      <w:r>
        <w:rPr>
          <w:rStyle w:val="normaltextrun"/>
          <w:rFonts w:ascii="EC Square Sans Pro Light" w:hAnsi="EC Square Sans Pro Light"/>
          <w:noProof/>
          <w:color w:val="000000"/>
          <w:sz w:val="24"/>
          <w:szCs w:val="24"/>
        </w:rPr>
        <w:t xml:space="preserve"> a společného navrhování projektů</w:t>
      </w:r>
      <w:r>
        <w:rPr>
          <w:rStyle w:val="normaltextrun"/>
          <w:rFonts w:ascii="EC Square Sans Pro Light" w:hAnsi="EC Square Sans Pro Light"/>
          <w:noProof/>
        </w:rPr>
        <w:t>,</w:t>
      </w:r>
      <w:r>
        <w:rPr>
          <w:rFonts w:ascii="EC Square Sans Pro Light" w:hAnsi="EC Square Sans Pro Light"/>
          <w:noProof/>
          <w:color w:val="000000"/>
          <w:sz w:val="24"/>
          <w:szCs w:val="24"/>
          <w:highlight w:val="yellow"/>
        </w:rPr>
        <w:t xml:space="preserve">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color w:val="000000"/>
          <w:sz w:val="24"/>
          <w:szCs w:val="24"/>
        </w:rPr>
        <w:t xml:space="preserve">– zavede zvláštní </w:t>
      </w:r>
      <w:r>
        <w:rPr>
          <w:rFonts w:ascii="EC Square Sans Pro Light" w:hAnsi="EC Square Sans Pro Light"/>
          <w:b/>
          <w:noProof/>
          <w:color w:val="000000"/>
          <w:sz w:val="24"/>
          <w:szCs w:val="24"/>
        </w:rPr>
        <w:t>finanční nástroj pro městský rozvoj</w:t>
      </w:r>
      <w:r>
        <w:rPr>
          <w:rFonts w:ascii="EC Square Sans Pro Light" w:hAnsi="EC Square Sans Pro Light"/>
          <w:noProof/>
          <w:color w:val="000000"/>
          <w:sz w:val="24"/>
          <w:szCs w:val="24"/>
        </w:rPr>
        <w:t>, který na podporu projektů Nového evropského Bauhausu v členských státech mobilizuje investice EU a soukromé investice. Kromě financování projektů bude tento nástroj rovněž poskytovat podporu na odbornou přípravu a realizaci projektů,</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prozkoumá možnosti, jak nejlépe </w:t>
      </w:r>
      <w:r>
        <w:rPr>
          <w:rFonts w:ascii="EC Square Sans Pro Light" w:hAnsi="EC Square Sans Pro Light"/>
          <w:b/>
          <w:noProof/>
          <w:sz w:val="24"/>
          <w:szCs w:val="24"/>
        </w:rPr>
        <w:t>podpořit malé projekty</w:t>
      </w:r>
      <w:r>
        <w:rPr>
          <w:rFonts w:ascii="EC Square Sans Pro Light" w:hAnsi="EC Square Sans Pro Light"/>
          <w:noProof/>
          <w:sz w:val="24"/>
          <w:szCs w:val="24"/>
        </w:rPr>
        <w:t>, a to na základě práce Evropského inovačního a technologického institutu</w:t>
      </w:r>
      <w:r>
        <w:rPr>
          <w:rStyle w:val="FootnoteReference"/>
          <w:rFonts w:ascii="EC Square Sans Pro Light" w:hAnsi="EC Square Sans Pro Light" w:cs="Times New Roman"/>
          <w:noProof/>
          <w:sz w:val="24"/>
          <w:szCs w:val="24"/>
        </w:rPr>
        <w:footnoteReference w:id="18"/>
      </w:r>
      <w:r>
        <w:rPr>
          <w:rFonts w:ascii="EC Square Sans Pro Light" w:hAnsi="EC Square Sans Pro Light"/>
          <w:noProof/>
          <w:sz w:val="24"/>
          <w:szCs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vytvoří tzv. </w:t>
      </w:r>
      <w:r>
        <w:rPr>
          <w:rFonts w:ascii="EC Square Sans Pro Light" w:hAnsi="EC Square Sans Pro Light"/>
          <w:b/>
          <w:noProof/>
          <w:sz w:val="24"/>
          <w:szCs w:val="24"/>
        </w:rPr>
        <w:t>pečeť excelence Nového evropského Bauhausu</w:t>
      </w:r>
      <w:r>
        <w:rPr>
          <w:rFonts w:ascii="EC Square Sans Pro Light" w:hAnsi="EC Square Sans Pro Light"/>
          <w:noProof/>
          <w:sz w:val="24"/>
          <w:szCs w:val="24"/>
        </w:rPr>
        <w:t xml:space="preserve">, která pomůže vyzdvihnout vysoce kvalitní projekty, jež kvůli omezenému rozpočtu nemohly být financovány z programů EU. Pečeť excelence lze vnímat jako první krok k vytvoření </w:t>
      </w:r>
      <w:r>
        <w:rPr>
          <w:rFonts w:ascii="EC Square Sans Pro Light" w:hAnsi="EC Square Sans Pro Light"/>
          <w:b/>
          <w:noProof/>
          <w:sz w:val="24"/>
          <w:szCs w:val="24"/>
        </w:rPr>
        <w:t>značky Nový evropský Bauhaus</w:t>
      </w:r>
      <w:r>
        <w:rPr>
          <w:rFonts w:ascii="EC Square Sans Pro Light" w:hAnsi="EC Square Sans Pro Light"/>
          <w:noProof/>
          <w:sz w:val="24"/>
          <w:szCs w:val="24"/>
        </w:rPr>
        <w:t>. Vybrané projekty budou začleněny do komunity Nového evropského Bauhausu a budou prezentovány u dalších potenciálních investorů.</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Kromě iniciativ vedených Komisí bude financování transformačních projektů Nového evropského Bauhausu vyžadovat intenzivní spolupráci s členskými státy. </w:t>
      </w:r>
      <w:r>
        <w:rPr>
          <w:rFonts w:ascii="EC Square Sans Pro Thin" w:hAnsi="EC Square Sans Pro Thin"/>
          <w:noProof/>
          <w:sz w:val="24"/>
          <w:szCs w:val="24"/>
        </w:rPr>
        <w:t>Přístup politiky soudržnosti, který se bude zaměřovat na konkrétní místa a komunitně</w:t>
      </w:r>
      <w:r>
        <w:rPr>
          <w:rFonts w:ascii="EC Square Sans Pro Thin" w:hAnsi="EC Square Sans Pro Thin"/>
          <w:noProof/>
          <w:sz w:val="24"/>
        </w:rPr>
        <w:t xml:space="preserve"> vedený místní rozvoj, </w:t>
      </w:r>
      <w:r>
        <w:rPr>
          <w:rFonts w:ascii="EC Square Sans Pro Thin" w:hAnsi="EC Square Sans Pro Thin"/>
          <w:noProof/>
          <w:sz w:val="24"/>
          <w:szCs w:val="24"/>
        </w:rPr>
        <w:t>může podporovat</w:t>
      </w:r>
      <w:r>
        <w:rPr>
          <w:rFonts w:ascii="EC Square Sans Pro Thin" w:hAnsi="EC Square Sans Pro Thin"/>
          <w:noProof/>
          <w:sz w:val="24"/>
        </w:rPr>
        <w:t xml:space="preserve"> projekty Nového evropského Bauhausu </w:t>
      </w:r>
      <w:r>
        <w:rPr>
          <w:rFonts w:ascii="EC Square Sans Pro Thin" w:hAnsi="EC Square Sans Pro Thin"/>
          <w:noProof/>
          <w:sz w:val="24"/>
          <w:szCs w:val="24"/>
        </w:rPr>
        <w:t>na regionální a místní úrovni za účasti místních komunit</w:t>
      </w:r>
      <w:r>
        <w:rPr>
          <w:rFonts w:ascii="EC Square Sans Pro Thin" w:hAnsi="EC Square Sans Pro Thin"/>
          <w:noProof/>
          <w:sz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b/>
          <w:noProof/>
          <w:sz w:val="24"/>
          <w:szCs w:val="24"/>
        </w:rPr>
        <w:t>Evropská komise vyzve členské státy, aby</w:t>
      </w:r>
      <w:r>
        <w:rPr>
          <w:rFonts w:ascii="EC Square Sans Pro Light" w:hAnsi="EC Square Sans Pro Light"/>
          <w:noProof/>
          <w:sz w:val="24"/>
          <w:szCs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zapojily Nový evropský Bauhaus do svých strategií sociálně-ekonomického a územního rozvoje a svůj </w:t>
      </w:r>
      <w:r>
        <w:rPr>
          <w:rFonts w:ascii="EC Square Sans Pro Light" w:hAnsi="EC Square Sans Pro Light"/>
          <w:noProof/>
          <w:sz w:val="24"/>
        </w:rPr>
        <w:t>závazek</w:t>
      </w:r>
      <w:r>
        <w:rPr>
          <w:rFonts w:ascii="EC Square Sans Pro Light" w:hAnsi="EC Square Sans Pro Light"/>
          <w:noProof/>
          <w:sz w:val="24"/>
          <w:szCs w:val="24"/>
        </w:rPr>
        <w:t xml:space="preserve"> podpořit a začleňovat Nový evropský Bauhaus zohlednily při provádění </w:t>
      </w:r>
      <w:r>
        <w:rPr>
          <w:rFonts w:ascii="EC Square Sans Pro Light" w:hAnsi="EC Square Sans Pro Light"/>
          <w:b/>
          <w:noProof/>
          <w:sz w:val="24"/>
          <w:szCs w:val="24"/>
        </w:rPr>
        <w:t>politiky soudržnosti</w:t>
      </w:r>
      <w:r>
        <w:rPr>
          <w:rFonts w:ascii="EC Square Sans Pro Light" w:hAnsi="EC Square Sans Pro Light"/>
          <w:noProof/>
          <w:sz w:val="24"/>
        </w:rPr>
        <w:t xml:space="preserve"> na období 2021–2027</w:t>
      </w:r>
      <w:r>
        <w:rPr>
          <w:rFonts w:ascii="EC Square Sans Pro Light" w:hAnsi="EC Square Sans Pro Light"/>
          <w:noProof/>
          <w:sz w:val="24"/>
          <w:szCs w:val="24"/>
        </w:rPr>
        <w:t xml:space="preserve"> prostřednictvím </w:t>
      </w:r>
      <w:r>
        <w:rPr>
          <w:rFonts w:ascii="EC Square Sans Pro Light" w:hAnsi="EC Square Sans Pro Light"/>
          <w:noProof/>
          <w:sz w:val="24"/>
        </w:rPr>
        <w:t xml:space="preserve">dohod o </w:t>
      </w:r>
      <w:r>
        <w:rPr>
          <w:rFonts w:ascii="EC Square Sans Pro Light" w:hAnsi="EC Square Sans Pro Light"/>
          <w:noProof/>
          <w:sz w:val="24"/>
          <w:szCs w:val="24"/>
        </w:rPr>
        <w:t>partnerství</w:t>
      </w:r>
      <w:r>
        <w:rPr>
          <w:rFonts w:ascii="EC Square Sans Pro Light" w:hAnsi="EC Square Sans Pro Light"/>
          <w:noProof/>
          <w:sz w:val="24"/>
        </w:rPr>
        <w:t xml:space="preserve"> a příslušných operačních programů</w:t>
      </w:r>
      <w:r>
        <w:rPr>
          <w:rFonts w:ascii="EC Square Sans Pro Light" w:hAnsi="EC Square Sans Pro Light"/>
          <w:noProof/>
          <w:sz w:val="24"/>
          <w:szCs w:val="24"/>
        </w:rPr>
        <w:t xml:space="preserve">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využívaly finanční nástroj Nového evropského Bauhausu k financování projektů v praxi</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mobilizovaly za účelem podpory transformačních projektů Nového evropského Bauhausu </w:t>
      </w:r>
      <w:r>
        <w:rPr>
          <w:rFonts w:ascii="EC Square Sans Pro Light" w:hAnsi="EC Square Sans Pro Light"/>
          <w:b/>
          <w:noProof/>
          <w:sz w:val="24"/>
          <w:szCs w:val="24"/>
        </w:rPr>
        <w:t>příslušné části svých plánů na podporu oživení a odolnosti</w:t>
      </w:r>
      <w:r>
        <w:rPr>
          <w:rFonts w:ascii="EC Square Sans Pro Light" w:hAnsi="EC Square Sans Pro Light"/>
          <w:noProof/>
          <w:sz w:val="24"/>
          <w:szCs w:val="24"/>
        </w:rPr>
        <w:t xml:space="preserve"> (např. v oblasti renovací nebo infrastruktur).</w:t>
      </w:r>
    </w:p>
    <w:p w:rsidR="002F1537" w:rsidRDefault="00D04A0B">
      <w:pPr>
        <w:pStyle w:val="Heading3"/>
        <w:rPr>
          <w:noProof/>
        </w:rPr>
      </w:pPr>
      <w:bookmarkStart w:id="21" w:name="_Toc82678680"/>
      <w:r>
        <w:rPr>
          <w:noProof/>
        </w:rPr>
        <w:t>Transformace prostředí umožňujícího inovace</w:t>
      </w:r>
      <w:bookmarkEnd w:id="21"/>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Transformace v rámci Nového evropského Bauhausu závisí na schopnosti průmyslových ekosystémů (od stavebnictví po odvětví životního stylu a kreativní odvětví, od oblasti materiálů po obchodní modely, od digitálních technologií po zemědělství) poskytovat na míru uzpůsobená a cenově dostupná řešení. Jak vyplynulo z fáze návrhu, klíčovou úlohu hrají inovace. Přitom se nemusí jednat pouze o inovace v podobě nových technologií, ale také o kombinaci nových a tradičních postupů nebo o přizpůsobení místních řemesel a znalostí.</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Problémem, či dokonce překážkou při zavádění inovací mohou být příliš různorodé a složité právní předpisy a zdlouhavé administrativní postupy. Inovativní přístupy by měly být testovány a prováděny nejprve experimentálně v úzké spolupráci s vnitrostátními, regionálními a místními orgány členských států.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Účinné využívání nových materiálů, výrobního procesu a dalších nástrojů bude vyžadovat získávání dovedností a změnu kvalifikace, a to i prostřednictvím odborného vzdělávání a přípravy, v několika odvětvích a na různých úrovních.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b/>
          <w:noProof/>
          <w:sz w:val="24"/>
          <w:szCs w:val="24"/>
        </w:rPr>
      </w:pPr>
      <w:r>
        <w:rPr>
          <w:rFonts w:ascii="EC Square Sans Pro Light" w:hAnsi="EC Square Sans Pro Light"/>
          <w:b/>
          <w:noProof/>
          <w:sz w:val="24"/>
          <w:szCs w:val="24"/>
        </w:rPr>
        <w:t>Komise tuto transformaci podpoří následovně:</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do roku 2022 pomůže vytvořit </w:t>
      </w:r>
      <w:r>
        <w:rPr>
          <w:rFonts w:ascii="EC Square Sans Pro Light" w:hAnsi="EC Square Sans Pro Light"/>
          <w:b/>
          <w:noProof/>
          <w:sz w:val="24"/>
          <w:szCs w:val="24"/>
        </w:rPr>
        <w:t>plány přechodu</w:t>
      </w:r>
      <w:r>
        <w:rPr>
          <w:rFonts w:ascii="EC Square Sans Pro Light" w:hAnsi="EC Square Sans Pro Light"/>
          <w:noProof/>
          <w:sz w:val="24"/>
          <w:szCs w:val="24"/>
        </w:rPr>
        <w:t xml:space="preserve"> k i) zelenému, digitálnímu a odolnému stavebnímu ekosystému</w:t>
      </w:r>
      <w:r>
        <w:rPr>
          <w:rFonts w:ascii="EC Square Sans Pro Light" w:hAnsi="EC Square Sans Pro Light"/>
          <w:noProof/>
          <w:sz w:val="24"/>
        </w:rPr>
        <w:t xml:space="preserve"> prostřednictvím </w:t>
      </w:r>
      <w:r>
        <w:rPr>
          <w:rFonts w:ascii="EC Square Sans Pro Light" w:hAnsi="EC Square Sans Pro Light"/>
          <w:i/>
          <w:noProof/>
          <w:sz w:val="24"/>
        </w:rPr>
        <w:t>fóra na vysoké úrovni pro stavebnictví</w:t>
      </w:r>
      <w:r>
        <w:rPr>
          <w:rFonts w:ascii="EC Square Sans Pro Light" w:hAnsi="EC Square Sans Pro Light"/>
          <w:noProof/>
          <w:sz w:val="24"/>
        </w:rPr>
        <w:t>,</w:t>
      </w:r>
      <w:r>
        <w:rPr>
          <w:rFonts w:ascii="EC Square Sans Pro Light" w:hAnsi="EC Square Sans Pro Light"/>
          <w:noProof/>
          <w:sz w:val="24"/>
          <w:szCs w:val="24"/>
        </w:rPr>
        <w:t xml:space="preserve"> ii) zelenému, digitálnímu a odolnému ekosystému v sociální a lokální ekonomice, který doplní akční plán EU pro sociální ekonomiku, a iii) zelenému, digitálnímu a odolnému textilnímu ekosystému, který doplní strategii EU v oblasti textilu,</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vyvine </w:t>
      </w:r>
      <w:r>
        <w:rPr>
          <w:rFonts w:ascii="EC Square Sans Pro Light" w:hAnsi="EC Square Sans Pro Light"/>
          <w:b/>
          <w:noProof/>
          <w:sz w:val="24"/>
          <w:szCs w:val="24"/>
        </w:rPr>
        <w:t>nástroj pro sebehodnocení</w:t>
      </w:r>
      <w:r>
        <w:rPr>
          <w:rFonts w:ascii="EC Square Sans Pro Light" w:hAnsi="EC Square Sans Pro Light"/>
          <w:noProof/>
          <w:sz w:val="24"/>
          <w:szCs w:val="24"/>
        </w:rPr>
        <w:t xml:space="preserve">, který umožní zhodnotit, do jaké míry je projekt udržitelný, inkluzivní a estetický, a pomůže určit, kde je možné zlepšení. Ten by měl v sobě spojovat všechny stávající normy, pravidla a pokyny platné v příslušných oblastech. Kromě toho bude </w:t>
      </w:r>
      <w:r>
        <w:rPr>
          <w:rFonts w:ascii="EC Square Sans Pro Light" w:hAnsi="EC Square Sans Pro Light"/>
          <w:noProof/>
        </w:rPr>
        <w:t xml:space="preserve">vyvíjet také digitální nástroje pro elektronické vzdělávání a posuzování za účelem podpory využívání rámce Level(s), který podporuje </w:t>
      </w:r>
      <w:r>
        <w:rPr>
          <w:rFonts w:ascii="EC Square Sans Pro Light" w:hAnsi="EC Square Sans Pro Light"/>
          <w:b/>
          <w:noProof/>
        </w:rPr>
        <w:t>zohlednění emisí CO</w:t>
      </w:r>
      <w:r>
        <w:rPr>
          <w:rFonts w:ascii="EC Square Sans Pro Light" w:hAnsi="EC Square Sans Pro Light"/>
          <w:b/>
          <w:noProof/>
          <w:vertAlign w:val="subscript"/>
        </w:rPr>
        <w:t>2</w:t>
      </w:r>
      <w:r>
        <w:rPr>
          <w:rFonts w:ascii="EC Square Sans Pro Light" w:hAnsi="EC Square Sans Pro Light"/>
          <w:b/>
          <w:noProof/>
        </w:rPr>
        <w:t xml:space="preserve"> během celého životního cyklu při posuzování</w:t>
      </w:r>
      <w:r>
        <w:rPr>
          <w:rFonts w:ascii="EC Square Sans Pro Light" w:hAnsi="EC Square Sans Pro Light"/>
          <w:noProof/>
        </w:rPr>
        <w:t xml:space="preserve"> environmentální výkonnosti budov.</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bude dále mobilizovat podporu Nového evropského Bauhausu prostřednictvím výzkumu a inovací v rámci </w:t>
      </w:r>
      <w:r>
        <w:rPr>
          <w:rFonts w:ascii="EC Square Sans Pro Light" w:hAnsi="EC Square Sans Pro Light"/>
          <w:b/>
          <w:noProof/>
          <w:sz w:val="24"/>
          <w:szCs w:val="24"/>
        </w:rPr>
        <w:t>programu Horizont Evropa</w:t>
      </w:r>
      <w:r>
        <w:rPr>
          <w:rFonts w:ascii="EC Square Sans Pro Light" w:hAnsi="EC Square Sans Pro Light"/>
          <w:noProof/>
          <w:sz w:val="24"/>
          <w:szCs w:val="24"/>
        </w:rPr>
        <w:t xml:space="preserve">. Za tímto účelem uspořádá </w:t>
      </w:r>
      <w:r>
        <w:rPr>
          <w:rFonts w:ascii="EC Square Sans Pro Light" w:hAnsi="EC Square Sans Pro Light"/>
          <w:b/>
          <w:noProof/>
          <w:sz w:val="24"/>
          <w:szCs w:val="24"/>
        </w:rPr>
        <w:t>workshop na vysoké úrovni na téma „Výzkum a inovace pro Nový evropský Bauhaus“</w:t>
      </w:r>
      <w:r>
        <w:rPr>
          <w:rFonts w:ascii="EC Square Sans Pro Light" w:hAnsi="EC Square Sans Pro Light"/>
          <w:noProof/>
          <w:sz w:val="24"/>
          <w:szCs w:val="24"/>
        </w:rPr>
        <w:t>, na němž se setkají přední odborníci s cílem stanovit perspektivní plán výzkumu a inovací na podporu Nového evropského Bauhausu a přispět k procesu spoluvytváření budoucích pracovních programů Horizontu Evropa,</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bude mobilizovat kapacity </w:t>
      </w:r>
      <w:r>
        <w:rPr>
          <w:rFonts w:ascii="EC Square Sans Pro Light" w:hAnsi="EC Square Sans Pro Light"/>
          <w:b/>
          <w:noProof/>
          <w:sz w:val="24"/>
          <w:szCs w:val="24"/>
        </w:rPr>
        <w:t>Evropského inovačního a technologického institutu</w:t>
      </w:r>
      <w:r>
        <w:rPr>
          <w:rFonts w:ascii="EC Square Sans Pro Light" w:hAnsi="EC Square Sans Pro Light"/>
          <w:noProof/>
          <w:sz w:val="24"/>
          <w:szCs w:val="24"/>
        </w:rPr>
        <w:t xml:space="preserve"> (EIT)</w:t>
      </w:r>
      <w:r>
        <w:rPr>
          <w:rStyle w:val="FootnoteReference"/>
          <w:rFonts w:ascii="EC Square Sans Pro Light" w:hAnsi="EC Square Sans Pro Light" w:cs="Times New Roman"/>
          <w:noProof/>
          <w:sz w:val="24"/>
          <w:szCs w:val="24"/>
        </w:rPr>
        <w:footnoteReference w:id="19"/>
      </w:r>
      <w:r>
        <w:rPr>
          <w:rFonts w:ascii="EC Square Sans Pro Light" w:hAnsi="EC Square Sans Pro Light"/>
          <w:noProof/>
          <w:sz w:val="24"/>
          <w:szCs w:val="24"/>
        </w:rPr>
        <w:t xml:space="preserve"> a </w:t>
      </w:r>
      <w:r>
        <w:rPr>
          <w:rFonts w:ascii="EC Square Sans Pro Light" w:hAnsi="EC Square Sans Pro Light"/>
          <w:b/>
          <w:noProof/>
          <w:sz w:val="24"/>
          <w:szCs w:val="24"/>
        </w:rPr>
        <w:t>Evropské rady pro inovace</w:t>
      </w:r>
      <w:r>
        <w:rPr>
          <w:rFonts w:ascii="EC Square Sans Pro Light" w:hAnsi="EC Square Sans Pro Light"/>
          <w:noProof/>
          <w:sz w:val="24"/>
          <w:szCs w:val="24"/>
        </w:rPr>
        <w:t xml:space="preserve"> (EIC)</w:t>
      </w:r>
      <w:r>
        <w:rPr>
          <w:rStyle w:val="FootnoteReference"/>
          <w:rFonts w:ascii="EC Square Sans Pro Light" w:hAnsi="EC Square Sans Pro Light" w:cs="Times New Roman"/>
          <w:noProof/>
          <w:sz w:val="24"/>
          <w:szCs w:val="24"/>
        </w:rPr>
        <w:footnoteReference w:id="20"/>
      </w:r>
      <w:r>
        <w:rPr>
          <w:rFonts w:ascii="EC Square Sans Pro Light" w:hAnsi="EC Square Sans Pro Light"/>
          <w:noProof/>
          <w:sz w:val="24"/>
          <w:szCs w:val="24"/>
        </w:rPr>
        <w:t xml:space="preserve"> s cílem zahájit první soubor koordinovaných výzev k předkládání návrhů za účelem řešení klíčových výzev v oblasti inovací, které v praxi vyplynou z transformačních projektů,</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začlení Nový evropský Bauhaus do priorit </w:t>
      </w:r>
      <w:r>
        <w:rPr>
          <w:rFonts w:ascii="EC Square Sans Pro Light" w:hAnsi="EC Square Sans Pro Light"/>
          <w:b/>
          <w:noProof/>
          <w:sz w:val="24"/>
          <w:szCs w:val="24"/>
        </w:rPr>
        <w:t>programu LIFE</w:t>
      </w:r>
      <w:r>
        <w:rPr>
          <w:rStyle w:val="FootnoteReference"/>
          <w:rFonts w:ascii="EC Square Sans Pro Light" w:hAnsi="EC Square Sans Pro Light" w:cs="Times New Roman"/>
          <w:noProof/>
          <w:sz w:val="24"/>
          <w:szCs w:val="24"/>
        </w:rPr>
        <w:footnoteReference w:id="21"/>
      </w:r>
      <w:r>
        <w:rPr>
          <w:rFonts w:ascii="EC Square Sans Pro Light" w:hAnsi="EC Square Sans Pro Light"/>
          <w:noProof/>
          <w:sz w:val="24"/>
          <w:szCs w:val="24"/>
        </w:rPr>
        <w:t xml:space="preserve"> s cílem podpořit zejména projekty prosazující oběhovost, nulové znečištění a biologickou rozmanitost,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bude mobilizovat </w:t>
      </w:r>
      <w:r>
        <w:rPr>
          <w:rFonts w:ascii="EC Square Sans Pro Light" w:hAnsi="EC Square Sans Pro Light"/>
          <w:b/>
          <w:noProof/>
          <w:sz w:val="24"/>
          <w:szCs w:val="24"/>
        </w:rPr>
        <w:t>Program pro jednotný trh</w:t>
      </w:r>
      <w:r>
        <w:rPr>
          <w:rStyle w:val="FootnoteReference"/>
          <w:rFonts w:ascii="EC Square Sans Pro Light" w:hAnsi="EC Square Sans Pro Light" w:cs="Times New Roman"/>
          <w:b/>
          <w:bCs/>
          <w:noProof/>
          <w:sz w:val="24"/>
        </w:rPr>
        <w:footnoteReference w:id="22"/>
      </w:r>
      <w:r>
        <w:rPr>
          <w:rFonts w:ascii="EC Square Sans Pro Light" w:hAnsi="EC Square Sans Pro Light"/>
          <w:b/>
          <w:noProof/>
          <w:sz w:val="24"/>
        </w:rPr>
        <w:t xml:space="preserve"> a jeho </w:t>
      </w:r>
      <w:r>
        <w:rPr>
          <w:rFonts w:ascii="EC Square Sans Pro Light" w:hAnsi="EC Square Sans Pro Light"/>
          <w:b/>
          <w:noProof/>
          <w:sz w:val="24"/>
          <w:szCs w:val="24"/>
        </w:rPr>
        <w:t>pilíř COSME</w:t>
      </w:r>
      <w:r>
        <w:rPr>
          <w:rStyle w:val="FootnoteReference"/>
          <w:rFonts w:ascii="EC Square Sans Pro Light" w:hAnsi="EC Square Sans Pro Light" w:cs="Times New Roman"/>
          <w:noProof/>
          <w:sz w:val="24"/>
          <w:szCs w:val="24"/>
        </w:rPr>
        <w:footnoteReference w:id="23"/>
      </w:r>
      <w:r>
        <w:rPr>
          <w:rFonts w:ascii="EC Square Sans Pro Light" w:hAnsi="EC Square Sans Pro Light"/>
          <w:noProof/>
          <w:sz w:val="24"/>
          <w:szCs w:val="24"/>
        </w:rPr>
        <w:t xml:space="preserve"> na podporu obchodních partnerství </w:t>
      </w:r>
      <w:r>
        <w:rPr>
          <w:rFonts w:ascii="EC Square Sans Pro Light" w:hAnsi="EC Square Sans Pro Light"/>
          <w:b/>
          <w:noProof/>
          <w:sz w:val="24"/>
          <w:szCs w:val="24"/>
        </w:rPr>
        <w:t xml:space="preserve">v odvětví životního stylu </w:t>
      </w:r>
      <w:r>
        <w:rPr>
          <w:rFonts w:ascii="EC Square Sans Pro Light" w:hAnsi="EC Square Sans Pro Light"/>
          <w:noProof/>
          <w:sz w:val="24"/>
          <w:szCs w:val="24"/>
        </w:rPr>
        <w:t>(móda, design, nábytek apod.)</w:t>
      </w:r>
      <w:r>
        <w:rPr>
          <w:rFonts w:ascii="EC Square Sans Pro Light" w:hAnsi="EC Square Sans Pro Light"/>
          <w:b/>
          <w:noProof/>
          <w:sz w:val="24"/>
          <w:szCs w:val="24"/>
        </w:rPr>
        <w:t xml:space="preserve"> </w:t>
      </w:r>
      <w:r>
        <w:rPr>
          <w:rFonts w:ascii="EC Square Sans Pro Light" w:hAnsi="EC Square Sans Pro Light"/>
          <w:noProof/>
          <w:sz w:val="24"/>
          <w:szCs w:val="24"/>
        </w:rPr>
        <w:t xml:space="preserve">mezi designéry, výrobci, řemeslníky a poskytovateli technologií </w:t>
      </w:r>
      <w:r>
        <w:rPr>
          <w:rFonts w:ascii="EC Square Sans Pro Light" w:hAnsi="EC Square Sans Pro Light"/>
          <w:noProof/>
          <w:sz w:val="24"/>
        </w:rPr>
        <w:t>(partnerský projekt Worth)</w:t>
      </w:r>
      <w:r>
        <w:rPr>
          <w:rStyle w:val="FootnoteReference"/>
          <w:rFonts w:ascii="EC Square Sans Pro Light" w:hAnsi="EC Square Sans Pro Light" w:cs="Times New Roman"/>
          <w:noProof/>
          <w:sz w:val="24"/>
        </w:rPr>
        <w:footnoteReference w:id="24"/>
      </w:r>
      <w:r>
        <w:rPr>
          <w:rFonts w:ascii="EC Square Sans Pro Light" w:hAnsi="EC Square Sans Pro Light"/>
          <w:noProof/>
          <w:sz w:val="24"/>
        </w:rPr>
        <w:t xml:space="preserve"> </w:t>
      </w:r>
      <w:r>
        <w:rPr>
          <w:rFonts w:ascii="EC Square Sans Pro Light" w:hAnsi="EC Square Sans Pro Light"/>
          <w:noProof/>
          <w:sz w:val="24"/>
          <w:szCs w:val="24"/>
        </w:rPr>
        <w:t xml:space="preserve">a na podporu </w:t>
      </w:r>
      <w:r>
        <w:rPr>
          <w:rFonts w:ascii="EC Square Sans Pro Light" w:hAnsi="EC Square Sans Pro Light"/>
          <w:b/>
          <w:noProof/>
          <w:sz w:val="24"/>
          <w:szCs w:val="24"/>
        </w:rPr>
        <w:t>partnerství</w:t>
      </w:r>
      <w:r>
        <w:rPr>
          <w:rFonts w:ascii="EC Square Sans Pro Light" w:hAnsi="EC Square Sans Pro Light"/>
          <w:b/>
          <w:noProof/>
          <w:sz w:val="24"/>
        </w:rPr>
        <w:t xml:space="preserve"> v oblasti sociální ekonomiky a místních zelených dohod</w:t>
      </w:r>
      <w:r>
        <w:rPr>
          <w:rStyle w:val="FootnoteReference"/>
          <w:rFonts w:ascii="EC Square Sans Pro Light" w:hAnsi="EC Square Sans Pro Light" w:cs="Times New Roman"/>
          <w:noProof/>
          <w:sz w:val="24"/>
        </w:rPr>
        <w:footnoteReference w:id="25"/>
      </w:r>
      <w:r>
        <w:rPr>
          <w:rFonts w:ascii="EC Square Sans Pro Light" w:hAnsi="EC Square Sans Pro Light"/>
          <w:noProof/>
          <w:sz w:val="24"/>
          <w:szCs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bude podporovat mezioborové inovace umožňující udržitelnost, inkluzi a dobré životní podmínky v kulturních a kreativních odvětvích v rámci </w:t>
      </w:r>
      <w:r>
        <w:rPr>
          <w:rFonts w:ascii="EC Square Sans Pro Light" w:hAnsi="EC Square Sans Pro Light"/>
          <w:b/>
          <w:noProof/>
          <w:sz w:val="24"/>
          <w:szCs w:val="24"/>
        </w:rPr>
        <w:t>programu Kreativní Evropa</w:t>
      </w:r>
      <w:r>
        <w:rPr>
          <w:rFonts w:ascii="EC Square Sans Pro Light" w:hAnsi="EC Square Sans Pro Light"/>
          <w:noProof/>
          <w:sz w:val="24"/>
          <w:szCs w:val="24"/>
        </w:rPr>
        <w:t>, zejména prostřednictvím kreativních inovačních laboratoří (Creative Innovation Labs),</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bude na podporu Nového evropského Bauhausu mobilizovat </w:t>
      </w:r>
      <w:r>
        <w:rPr>
          <w:rFonts w:ascii="EC Square Sans Pro Light" w:hAnsi="EC Square Sans Pro Light"/>
          <w:b/>
          <w:noProof/>
          <w:sz w:val="24"/>
          <w:szCs w:val="24"/>
        </w:rPr>
        <w:t>centra pro digitální inovace</w:t>
      </w:r>
      <w:r>
        <w:rPr>
          <w:rFonts w:ascii="EC Square Sans Pro Light" w:hAnsi="EC Square Sans Pro Light"/>
          <w:noProof/>
          <w:sz w:val="24"/>
          <w:szCs w:val="24"/>
        </w:rPr>
        <w:t xml:space="preserve"> v příslušných odvětvích (včetně stavebnictví) za účelem rozvoje skutečných i virtuálních prostředí a zkušeností s využitím hlubokých digitálních technologií (UI, vysoce výkonná výpočetní technika, velká data),</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b/>
          <w:noProof/>
          <w:sz w:val="24"/>
          <w:szCs w:val="24"/>
        </w:rPr>
      </w:pPr>
      <w:r>
        <w:rPr>
          <w:rFonts w:ascii="EC Square Sans Pro Light" w:hAnsi="EC Square Sans Pro Light"/>
          <w:noProof/>
          <w:sz w:val="24"/>
          <w:szCs w:val="24"/>
        </w:rPr>
        <w:t xml:space="preserve">– od roku 2021 bude navrhovat témata a priority, jež budou k iniciativě Nový evropský Bauhaus přispívat, v rámci </w:t>
      </w:r>
      <w:r>
        <w:rPr>
          <w:rFonts w:ascii="EC Square Sans Pro Light" w:hAnsi="EC Square Sans Pro Light"/>
          <w:b/>
          <w:noProof/>
          <w:sz w:val="24"/>
          <w:szCs w:val="24"/>
        </w:rPr>
        <w:t>pracovních programů Digitální Evropy</w:t>
      </w:r>
      <w:r>
        <w:rPr>
          <w:rFonts w:ascii="EC Square Sans Pro Light" w:hAnsi="EC Square Sans Pro Light"/>
          <w:noProof/>
          <w:sz w:val="24"/>
          <w:szCs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b/>
          <w:noProof/>
          <w:sz w:val="24"/>
          <w:szCs w:val="24"/>
        </w:rPr>
        <w:t xml:space="preserve">– </w:t>
      </w:r>
      <w:r>
        <w:rPr>
          <w:rFonts w:ascii="EC Square Sans Pro Light" w:hAnsi="EC Square Sans Pro Light"/>
          <w:noProof/>
          <w:sz w:val="24"/>
          <w:szCs w:val="24"/>
        </w:rPr>
        <w:t xml:space="preserve">bude podporovat </w:t>
      </w:r>
      <w:r>
        <w:rPr>
          <w:rFonts w:ascii="EC Square Sans Pro Light" w:hAnsi="EC Square Sans Pro Light"/>
          <w:b/>
          <w:noProof/>
          <w:sz w:val="24"/>
          <w:szCs w:val="24"/>
        </w:rPr>
        <w:t>inovativní zadávání veřejných zakázek</w:t>
      </w:r>
      <w:r>
        <w:rPr>
          <w:rFonts w:ascii="EC Square Sans Pro Light" w:hAnsi="EC Square Sans Pro Light"/>
          <w:noProof/>
          <w:sz w:val="24"/>
          <w:szCs w:val="24"/>
        </w:rPr>
        <w:t xml:space="preserve"> souvisejících s Novým evropským Bauhausem s cílem podpořit přístup založený nikoli pouze na nákladech, ale také na kvalitě, udržitelnosti a inkluzi, a to i prostřednictvím iniciativy „Velcí zadavatelé“</w:t>
      </w:r>
      <w:r>
        <w:rPr>
          <w:rStyle w:val="FootnoteReference"/>
          <w:rFonts w:ascii="EC Square Sans Pro Light" w:hAnsi="EC Square Sans Pro Light" w:cs="Times New Roman"/>
          <w:noProof/>
          <w:sz w:val="24"/>
          <w:szCs w:val="24"/>
        </w:rPr>
        <w:footnoteReference w:id="26"/>
      </w:r>
      <w:r>
        <w:rPr>
          <w:rFonts w:ascii="EC Square Sans Pro Light" w:hAnsi="EC Square Sans Pro Light"/>
          <w:noProof/>
          <w:sz w:val="24"/>
          <w:szCs w:val="24"/>
        </w:rPr>
        <w:t xml:space="preserve">. </w:t>
      </w:r>
    </w:p>
    <w:p w:rsidR="002F1537" w:rsidRDefault="00D04A0B">
      <w:pPr>
        <w:pStyle w:val="Heading3"/>
        <w:rPr>
          <w:noProof/>
        </w:rPr>
      </w:pPr>
      <w:r>
        <w:rPr>
          <w:noProof/>
        </w:rPr>
        <w:t xml:space="preserve"> </w:t>
      </w:r>
      <w:bookmarkStart w:id="22" w:name="_Toc82678681"/>
      <w:r>
        <w:rPr>
          <w:noProof/>
        </w:rPr>
        <w:t>Propagace nových hodnot</w:t>
      </w:r>
      <w:bookmarkEnd w:id="22"/>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Na počátku realizace nové iniciativy vždy musí stát propagace jejích hodnot. Je nezbytné spolupracovat s těmi, kdo o našich hodnotách uvažují, studují je a vyjadřují, jako jsou umělci, odborníci z oblasti společenských věd, pedagogové, vzdělávací instituce a mládežnické organizace.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lang w:val="en-GB" w:eastAsia="en-GB"/>
        </w:rPr>
        <mc:AlternateContent>
          <mc:Choice Requires="wps">
            <w:drawing>
              <wp:anchor distT="45720" distB="45720" distL="114300" distR="114300" simplePos="0" relativeHeight="251657216" behindDoc="0" locked="0" layoutInCell="1" allowOverlap="1">
                <wp:simplePos x="0" y="0"/>
                <wp:positionH relativeFrom="column">
                  <wp:posOffset>2567305</wp:posOffset>
                </wp:positionH>
                <wp:positionV relativeFrom="paragraph">
                  <wp:posOffset>467360</wp:posOffset>
                </wp:positionV>
                <wp:extent cx="3303270" cy="2018665"/>
                <wp:effectExtent l="0" t="0" r="11430" b="196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20186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2F1537" w:rsidRDefault="00D04A0B">
                            <w:pPr>
                              <w:jc w:val="both"/>
                              <w:rPr>
                                <w:rFonts w:ascii="Times New Roman" w:hAnsi="Times New Roman" w:cs="Times New Roman"/>
                                <w:i/>
                                <w:sz w:val="24"/>
                                <w:szCs w:val="24"/>
                              </w:rPr>
                            </w:pPr>
                            <w:r>
                              <w:rPr>
                                <w:rFonts w:ascii="Times New Roman" w:hAnsi="Times New Roman"/>
                                <w:i/>
                                <w:sz w:val="24"/>
                                <w:szCs w:val="24"/>
                              </w:rPr>
                              <w:t xml:space="preserve">Komise v úzké spolupráci s Koalicí pro vzdělávání v oblasti klimatu (*) vyhlásí výzvu pro střediska vzdělávání a znalostí (od veřejných knihoven až po školy a univerzity) k vyjádření zájmu o rozvíjení vlastních projektů Nového evropského Bauhausu. Komise tyto projekty propojí a zviditelní. Speciální cena Nového evropského Bauhausu v roce 2023 umožní vyzdvihnout nejlepší projekty.                       (* </w:t>
                            </w:r>
                            <w:hyperlink r:id="rId33" w:history="1">
                              <w:r>
                                <w:rPr>
                                  <w:rStyle w:val="Hyperlink"/>
                                  <w:rFonts w:ascii="Times New Roman" w:hAnsi="Times New Roman"/>
                                  <w:i/>
                                  <w:sz w:val="24"/>
                                  <w:szCs w:val="24"/>
                                </w:rPr>
                                <w:t>https://education-for-climate.ec.europa.eu/_en</w:t>
                              </w:r>
                            </w:hyperlink>
                            <w:r>
                              <w:rPr>
                                <w:rFonts w:ascii="Times New Roman" w:hAnsi="Times New Roman"/>
                                <w:i/>
                                <w:sz w:val="24"/>
                                <w:szCs w:val="24"/>
                              </w:rPr>
                              <w:t xml:space="preserve"> )</w:t>
                            </w:r>
                          </w:p>
                          <w:p w:rsidR="002F1537" w:rsidRDefault="002F1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15pt;margin-top:36.8pt;width:260.1pt;height:158.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" fillcolor="white [3201]" strokecolor="#5b9bd5 [3204]" strokeweight="1pt">
                <v:textbox>
                  <w:txbxContent>
                    <w:p w:rsidR="002F1537" w:rsidRDefault="00D04A0B">
                      <w:pPr>
                        <w:jc w:val="both"/>
                        <w:rPr>
                          <w:rFonts w:ascii="Times New Roman" w:hAnsi="Times New Roman" w:cs="Times New Roman"/>
                          <w:i/>
                          <w:sz w:val="24"/>
                          <w:szCs w:val="24"/>
                        </w:rPr>
                      </w:pPr>
                      <w:r>
                        <w:rPr>
                          <w:rFonts w:ascii="Times New Roman" w:hAnsi="Times New Roman"/>
                          <w:i/>
                          <w:sz w:val="24"/>
                          <w:szCs w:val="24"/>
                        </w:rPr>
                        <w:t xml:space="preserve">Komise v úzké spolupráci s Koalicí pro vzdělávání v oblasti klimatu (*) vyhlásí výzvu pro střediska vzdělávání a znalostí (od veřejných knihoven až po školy a univerzity) k vyjádření zájmu o rozvíjení vlastních projektů Nového evropského Bauhausu. Komise tyto projekty propojí a zviditelní. Speciální cena Nového evropského Bauhausu v roce 2023 umožní vyzdvihnout nejlepší projekty.                       (* </w:t>
                      </w:r>
                      <w:hyperlink r:id="rId34" w:history="1">
                        <w:r>
                          <w:rPr>
                            <w:rStyle w:val="Hyperlink"/>
                            <w:rFonts w:ascii="Times New Roman" w:hAnsi="Times New Roman"/>
                            <w:i/>
                            <w:sz w:val="24"/>
                            <w:szCs w:val="24"/>
                          </w:rPr>
                          <w:t>https://education-for-climate.ec.europa.eu/_en</w:t>
                        </w:r>
                      </w:hyperlink>
                      <w:r>
                        <w:rPr>
                          <w:rFonts w:ascii="Times New Roman" w:hAnsi="Times New Roman"/>
                          <w:i/>
                          <w:sz w:val="24"/>
                          <w:szCs w:val="24"/>
                        </w:rPr>
                        <w:t xml:space="preserve"> )</w:t>
                      </w:r>
                    </w:p>
                    <w:p w:rsidR="002F1537" w:rsidRDefault="002F1537"/>
                  </w:txbxContent>
                </v:textbox>
                <w10:wrap type="square"/>
              </v:shape>
            </w:pict>
          </mc:Fallback>
        </mc:AlternateContent>
      </w:r>
      <w:r>
        <w:rPr>
          <w:rFonts w:ascii="EC Square Sans Pro Light" w:hAnsi="EC Square Sans Pro Light"/>
          <w:noProof/>
          <w:sz w:val="24"/>
          <w:szCs w:val="24"/>
        </w:rPr>
        <w:t xml:space="preserve">Umělci a odborníci z kreativních odvětví ze všech oborů dlouhodobě přispívají ke zvyšování povědomí svého publika o sociálně-ekonomických a environmentálních výzvách naší doby. Jejich kritický postoj a díla, jež poukazují na problémy současné společnosti, mohou lidem otevřít oči a pomoci přetvářet náš svět tak, aby byl v budoucnu lepší. To samé platí i pro estetiku a krásu, jež se už dnes neřídí žádnými univerzálními normami nebo kánony.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Kulturní a  kreativní průmysl a odvětví jsou společně se vzdělávacími, školicími a mládežnickými institucemi zprostředkovateli inteligentního, udržitelného a inkluzivního růstu a pracovních míst. Jejich přínos k inovacím je stále více motivován netechnologickými faktory, jako jsou kreativita, design a nové organizační procesy nebo obchodní modely a spolupráce. Proto je udržitelnost zásadním cílem politiky EU v oblasti mládeže a vzdělávání, včetně vysokoškolského vzdělávání a podpůrného rámce, což také otevírá prostor pro široké pole součinnosti s iniciativou Nového evropského Bauhausu.</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b/>
          <w:noProof/>
          <w:sz w:val="24"/>
          <w:szCs w:val="24"/>
        </w:rPr>
      </w:pPr>
      <w:r>
        <w:rPr>
          <w:rFonts w:ascii="EC Square Sans Pro Light" w:hAnsi="EC Square Sans Pro Light"/>
          <w:b/>
          <w:noProof/>
          <w:sz w:val="24"/>
          <w:szCs w:val="24"/>
        </w:rPr>
        <w:t>Komise tuto transformaci podpoří následovně:</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navrhne udělit Novému evropskému Bauhausu prioritu v rámci programu </w:t>
      </w:r>
      <w:r>
        <w:rPr>
          <w:rFonts w:ascii="EC Square Sans Pro Light" w:hAnsi="EC Square Sans Pro Light"/>
          <w:b/>
          <w:noProof/>
          <w:sz w:val="24"/>
          <w:szCs w:val="24"/>
        </w:rPr>
        <w:t>Erasmus+</w:t>
      </w:r>
      <w:r>
        <w:rPr>
          <w:rFonts w:ascii="EC Square Sans Pro Light" w:hAnsi="EC Square Sans Pro Light"/>
          <w:noProof/>
          <w:sz w:val="24"/>
          <w:szCs w:val="24"/>
        </w:rPr>
        <w:t xml:space="preserve"> </w:t>
      </w:r>
      <w:r>
        <w:rPr>
          <w:rFonts w:ascii="EC Square Sans Pro Light" w:hAnsi="EC Square Sans Pro Light"/>
          <w:b/>
          <w:noProof/>
          <w:sz w:val="24"/>
          <w:szCs w:val="24"/>
        </w:rPr>
        <w:t>prostřednictvím výzvy k vytvoření Aliancí pro inovace</w:t>
      </w:r>
      <w:r>
        <w:rPr>
          <w:rStyle w:val="FootnoteReference"/>
          <w:rFonts w:ascii="EC Square Sans Pro Light" w:hAnsi="EC Square Sans Pro Light" w:cs="Times New Roman"/>
          <w:b/>
          <w:noProof/>
          <w:sz w:val="24"/>
          <w:szCs w:val="24"/>
        </w:rPr>
        <w:footnoteReference w:id="27"/>
      </w:r>
      <w:r>
        <w:rPr>
          <w:rFonts w:ascii="EC Square Sans Pro Light" w:hAnsi="EC Square Sans Pro Light"/>
          <w:b/>
          <w:noProof/>
          <w:sz w:val="24"/>
          <w:szCs w:val="24"/>
        </w:rPr>
        <w:t xml:space="preserve"> v roce 2022</w:t>
      </w:r>
      <w:r>
        <w:rPr>
          <w:rFonts w:ascii="EC Square Sans Pro Light" w:hAnsi="EC Square Sans Pro Light"/>
          <w:noProof/>
          <w:sz w:val="24"/>
          <w:szCs w:val="24"/>
        </w:rPr>
        <w:t xml:space="preserve"> zaměřené jak na vysokoškolské vzdělávání, tak na odvětví odborného vzdělávání a přípravy, a dále učinit z Nového evropského Bauhausu prioritu výzvy </w:t>
      </w:r>
      <w:r>
        <w:rPr>
          <w:rFonts w:ascii="EC Square Sans Pro Light" w:hAnsi="EC Square Sans Pro Light"/>
          <w:b/>
          <w:noProof/>
          <w:sz w:val="24"/>
          <w:szCs w:val="24"/>
        </w:rPr>
        <w:t>Evropská mládež spolu 2022</w:t>
      </w:r>
      <w:r>
        <w:rPr>
          <w:rFonts w:ascii="EC Square Sans Pro Light" w:hAnsi="EC Square Sans Pro Light"/>
          <w:noProof/>
          <w:sz w:val="24"/>
          <w:szCs w:val="24"/>
        </w:rPr>
        <w:t xml:space="preserve"> programu Erasmus+, jež podporuje mezinárodní partnerství mládežnických organizací,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v rámci programu Kreativní Evropa navrhne podporu </w:t>
      </w:r>
      <w:r>
        <w:rPr>
          <w:rFonts w:ascii="EC Square Sans Pro Light" w:hAnsi="EC Square Sans Pro Light"/>
          <w:b/>
          <w:noProof/>
          <w:sz w:val="24"/>
          <w:szCs w:val="24"/>
        </w:rPr>
        <w:t>tvůrčích rezidencí</w:t>
      </w:r>
      <w:r>
        <w:rPr>
          <w:rFonts w:ascii="EC Square Sans Pro Light" w:hAnsi="EC Square Sans Pro Light"/>
          <w:noProof/>
          <w:sz w:val="24"/>
          <w:szCs w:val="24"/>
        </w:rPr>
        <w:t xml:space="preserve"> a dalších druhů místních kulturních aktivit na místech určených nebo označených v rámci iniciativy Nový evropský Bauhaus,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 každoročně uspořádá </w:t>
      </w:r>
      <w:r>
        <w:rPr>
          <w:rFonts w:ascii="EC Square Sans Pro Light" w:hAnsi="EC Square Sans Pro Light"/>
          <w:b/>
          <w:noProof/>
          <w:sz w:val="24"/>
          <w:szCs w:val="24"/>
        </w:rPr>
        <w:t>cenu Nového evropského Bauhausu</w:t>
      </w:r>
      <w:r>
        <w:rPr>
          <w:rFonts w:ascii="EC Square Sans Pro Light" w:hAnsi="EC Square Sans Pro Light"/>
          <w:noProof/>
          <w:sz w:val="24"/>
          <w:szCs w:val="24"/>
        </w:rPr>
        <w:t>, jež bude pokaždé klást důraz na jiný z rozměrů této iniciativy,</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w:t>
      </w:r>
      <w:r>
        <w:rPr>
          <w:rFonts w:ascii="EC Square Sans Pro Light" w:hAnsi="EC Square Sans Pro Light"/>
          <w:noProof/>
          <w:sz w:val="24"/>
        </w:rPr>
        <w:t xml:space="preserve"> </w:t>
      </w:r>
      <w:r>
        <w:rPr>
          <w:rFonts w:ascii="EC Square Sans Pro Light" w:hAnsi="EC Square Sans Pro Light"/>
          <w:noProof/>
          <w:sz w:val="24"/>
          <w:szCs w:val="24"/>
        </w:rPr>
        <w:t xml:space="preserve">vyvine program </w:t>
      </w:r>
      <w:r>
        <w:rPr>
          <w:rFonts w:ascii="EC Square Sans Pro Light" w:hAnsi="EC Square Sans Pro Light"/>
          <w:b/>
          <w:noProof/>
          <w:sz w:val="24"/>
        </w:rPr>
        <w:t>vzájemného učení</w:t>
      </w:r>
      <w:r>
        <w:rPr>
          <w:rFonts w:ascii="EC Square Sans Pro Light" w:hAnsi="EC Square Sans Pro Light"/>
          <w:noProof/>
          <w:sz w:val="24"/>
        </w:rPr>
        <w:t xml:space="preserve"> </w:t>
      </w:r>
      <w:r>
        <w:rPr>
          <w:rFonts w:ascii="EC Square Sans Pro Light" w:hAnsi="EC Square Sans Pro Light"/>
          <w:noProof/>
          <w:sz w:val="24"/>
          <w:szCs w:val="24"/>
        </w:rPr>
        <w:t xml:space="preserve">s cílem pomoci místním orgánům integrovat a provádět </w:t>
      </w:r>
      <w:r>
        <w:rPr>
          <w:rFonts w:ascii="EC Square Sans Pro Light" w:hAnsi="EC Square Sans Pro Light"/>
          <w:b/>
          <w:noProof/>
          <w:sz w:val="24"/>
          <w:szCs w:val="24"/>
        </w:rPr>
        <w:t>do zastavěného prostředí zásady kvality</w:t>
      </w:r>
      <w:r>
        <w:rPr>
          <w:rFonts w:ascii="EC Square Sans Pro Light" w:hAnsi="EC Square Sans Pro Light"/>
          <w:noProof/>
          <w:sz w:val="24"/>
          <w:szCs w:val="24"/>
        </w:rPr>
        <w:t xml:space="preserve"> vypracované v rámci Davoského procesu</w:t>
      </w:r>
      <w:r>
        <w:rPr>
          <w:rStyle w:val="FootnoteReference"/>
          <w:rFonts w:ascii="EC Square Sans Pro Light" w:hAnsi="EC Square Sans Pro Light" w:cs="Times New Roman"/>
          <w:noProof/>
          <w:sz w:val="24"/>
          <w:szCs w:val="24"/>
        </w:rPr>
        <w:footnoteReference w:id="28"/>
      </w:r>
      <w:r>
        <w:rPr>
          <w:rFonts w:ascii="EC Square Sans Pro Light" w:hAnsi="EC Square Sans Pro Light"/>
          <w:noProof/>
          <w:sz w:val="24"/>
          <w:szCs w:val="24"/>
        </w:rPr>
        <w:t xml:space="preserve"> a expertními skupinami členských států</w:t>
      </w:r>
      <w:r>
        <w:rPr>
          <w:rStyle w:val="FootnoteReference"/>
          <w:rFonts w:ascii="EC Square Sans Pro Light" w:hAnsi="EC Square Sans Pro Light" w:cs="Times New Roman"/>
          <w:noProof/>
          <w:sz w:val="24"/>
          <w:szCs w:val="24"/>
        </w:rPr>
        <w:footnoteReference w:id="29"/>
      </w:r>
      <w:r>
        <w:rPr>
          <w:rFonts w:ascii="EC Square Sans Pro Light" w:hAnsi="EC Square Sans Pro Light"/>
          <w:noProof/>
          <w:sz w:val="24"/>
          <w:szCs w:val="24"/>
        </w:rPr>
        <w:t xml:space="preserve"> zřízenými v rámci Nové evropské agendy pro kulturu,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zaměří </w:t>
      </w:r>
      <w:r>
        <w:rPr>
          <w:rFonts w:ascii="EC Square Sans Pro Light" w:hAnsi="EC Square Sans Pro Light"/>
          <w:b/>
          <w:noProof/>
          <w:sz w:val="24"/>
          <w:szCs w:val="24"/>
        </w:rPr>
        <w:t>téma platformy eTwinning pro rok 2022</w:t>
      </w:r>
      <w:r>
        <w:rPr>
          <w:rStyle w:val="FootnoteReference"/>
          <w:rFonts w:ascii="EC Square Sans Pro Light" w:hAnsi="EC Square Sans Pro Light" w:cs="Times New Roman"/>
          <w:b/>
          <w:noProof/>
          <w:sz w:val="24"/>
          <w:szCs w:val="24"/>
        </w:rPr>
        <w:footnoteReference w:id="30"/>
      </w:r>
      <w:r>
        <w:rPr>
          <w:rFonts w:ascii="EC Square Sans Pro Light" w:hAnsi="EC Square Sans Pro Light"/>
          <w:b/>
          <w:noProof/>
          <w:sz w:val="24"/>
          <w:szCs w:val="24"/>
        </w:rPr>
        <w:t xml:space="preserve"> na otázky související s Novým evropským Bauhausem,</w:t>
      </w:r>
      <w:r>
        <w:rPr>
          <w:rFonts w:ascii="EC Square Sans Pro Light" w:hAnsi="EC Square Sans Pro Light"/>
          <w:noProof/>
          <w:sz w:val="24"/>
          <w:szCs w:val="24"/>
        </w:rPr>
        <w:t xml:space="preserve"> </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b/>
          <w:noProof/>
          <w:sz w:val="24"/>
        </w:rPr>
      </w:pPr>
      <w:r>
        <w:rPr>
          <w:rFonts w:ascii="EC Square Sans Pro Light" w:hAnsi="EC Square Sans Pro Light"/>
          <w:noProof/>
          <w:sz w:val="24"/>
          <w:szCs w:val="24"/>
        </w:rPr>
        <w:t>–</w:t>
      </w:r>
      <w:r>
        <w:rPr>
          <w:rFonts w:ascii="EC Square Sans Pro Light" w:hAnsi="EC Square Sans Pro Light"/>
          <w:b/>
          <w:noProof/>
          <w:sz w:val="24"/>
          <w:szCs w:val="24"/>
        </w:rPr>
        <w:t xml:space="preserve"> navrhne zařazení témat </w:t>
      </w:r>
      <w:r>
        <w:rPr>
          <w:rFonts w:ascii="EC Square Sans Pro Light" w:hAnsi="EC Square Sans Pro Light"/>
          <w:noProof/>
          <w:sz w:val="24"/>
          <w:szCs w:val="24"/>
        </w:rPr>
        <w:t>souvisejících s Novým evropským Bauhausem mezi priority</w:t>
      </w:r>
      <w:r>
        <w:rPr>
          <w:rFonts w:ascii="EC Square Sans Pro Light" w:hAnsi="EC Square Sans Pro Light"/>
          <w:b/>
          <w:noProof/>
          <w:sz w:val="24"/>
          <w:szCs w:val="24"/>
        </w:rPr>
        <w:t xml:space="preserve"> Evropské ceny za inovativní výuku za rok 2022</w:t>
      </w:r>
      <w:r>
        <w:rPr>
          <w:rFonts w:ascii="EC Square Sans Pro Light" w:hAnsi="EC Square Sans Pro Light"/>
          <w:noProof/>
          <w:sz w:val="24"/>
          <w:szCs w:val="24"/>
        </w:rPr>
        <w:t>,</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b/>
          <w:noProof/>
          <w:sz w:val="24"/>
          <w:szCs w:val="24"/>
        </w:rPr>
      </w:pPr>
      <w:r>
        <w:rPr>
          <w:rFonts w:ascii="EC Square Sans Pro Light" w:hAnsi="EC Square Sans Pro Light"/>
          <w:b/>
          <w:noProof/>
          <w:sz w:val="24"/>
          <w:szCs w:val="24"/>
        </w:rPr>
        <w:t xml:space="preserve">– </w:t>
      </w:r>
      <w:r>
        <w:rPr>
          <w:rFonts w:ascii="EC Square Sans Pro Light" w:hAnsi="EC Square Sans Pro Light"/>
          <w:noProof/>
          <w:sz w:val="24"/>
          <w:szCs w:val="24"/>
        </w:rPr>
        <w:t xml:space="preserve">s Novým evropským Bauhausem spojí téma </w:t>
      </w:r>
      <w:r>
        <w:rPr>
          <w:rFonts w:ascii="EC Square Sans Pro Light" w:hAnsi="EC Square Sans Pro Light"/>
          <w:b/>
          <w:noProof/>
          <w:sz w:val="24"/>
          <w:szCs w:val="24"/>
        </w:rPr>
        <w:t>soutěže DiscoverEU</w:t>
      </w:r>
      <w:r>
        <w:rPr>
          <w:rStyle w:val="FootnoteReference"/>
          <w:rFonts w:ascii="EC Square Sans Pro Light" w:hAnsi="EC Square Sans Pro Light" w:cs="Times New Roman"/>
          <w:b/>
          <w:noProof/>
          <w:sz w:val="24"/>
          <w:szCs w:val="24"/>
        </w:rPr>
        <w:footnoteReference w:id="31"/>
      </w:r>
      <w:r>
        <w:rPr>
          <w:rFonts w:ascii="EC Square Sans Pro Light" w:hAnsi="EC Square Sans Pro Light"/>
          <w:b/>
          <w:noProof/>
          <w:sz w:val="24"/>
          <w:szCs w:val="24"/>
        </w:rPr>
        <w:t xml:space="preserve"> pro rok 2022,</w:t>
      </w:r>
    </w:p>
    <w:p w:rsidR="002F1537" w:rsidRDefault="00D04A0B">
      <w:pPr>
        <w:pBdr>
          <w:top w:val="single" w:sz="24" w:space="1" w:color="BDD6EE" w:themeColor="accent1" w:themeTint="66"/>
          <w:left w:val="single" w:sz="24" w:space="4" w:color="BDD6EE" w:themeColor="accent1" w:themeTint="66"/>
          <w:bottom w:val="single" w:sz="24" w:space="1" w:color="BDD6EE" w:themeColor="accent1" w:themeTint="66"/>
          <w:right w:val="single" w:sz="24" w:space="4" w:color="BDD6EE" w:themeColor="accent1" w:themeTint="66"/>
        </w:pBd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 navrhne projekty, které mohou přispět k iniciativě NEB, v rámci </w:t>
      </w:r>
      <w:r>
        <w:rPr>
          <w:rFonts w:ascii="EC Square Sans Pro Light" w:hAnsi="EC Square Sans Pro Light"/>
          <w:b/>
          <w:noProof/>
          <w:sz w:val="24"/>
          <w:szCs w:val="24"/>
        </w:rPr>
        <w:t>výzvy k předkládání návrhů Evropského sboru solidarity pro rok 2022</w:t>
      </w:r>
      <w:r>
        <w:rPr>
          <w:rFonts w:ascii="EC Square Sans Pro Light" w:hAnsi="EC Square Sans Pro Light"/>
          <w:noProof/>
          <w:sz w:val="24"/>
          <w:szCs w:val="24"/>
        </w:rPr>
        <w:t>.</w:t>
      </w:r>
    </w:p>
    <w:p w:rsidR="002F1537" w:rsidRDefault="00D04A0B">
      <w:pPr>
        <w:pStyle w:val="Heading1"/>
        <w:spacing w:line="276" w:lineRule="auto"/>
        <w:rPr>
          <w:rFonts w:ascii="EC Square Sans Pro Light" w:hAnsi="EC Square Sans Pro Light"/>
          <w:noProof/>
        </w:rPr>
      </w:pPr>
      <w:bookmarkStart w:id="23" w:name="_Toc82678682"/>
      <w:r>
        <w:rPr>
          <w:rFonts w:ascii="EC Square Sans Pro Light" w:hAnsi="EC Square Sans Pro Light"/>
          <w:noProof/>
        </w:rPr>
        <w:t>Další kroky</w:t>
      </w:r>
      <w:bookmarkEnd w:id="23"/>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Nový evropský Bauhaus bude při svých aktivitách stavět na síle své rostoucí komunity. V posledních šesti měsících tato iniciativa vzbudila vlnu entusiasmu a dala vzniknout tisícům nápadů, z nichž toto sdělení vychází. Ve spolupráci s Evropskou službou pro vnější činnost, delegacemi Evropské unie a zainteresovanými mezinárodními organizacemi a sítěmi bude pokračovat mobilizace zainteresovaných subjektů a diskuse se rozšíří po celé Evropě i mimo ni. V tomto ohledu budou identifikovány synergie s příslušnými rámci politiky a spolupráce, zejména v zemích sousedících s EU.</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Při zvyšování povědomí a podpoře diskuse v rámci jejich jednotlivých složek, při mobilizaci občanů a subjektů soukromého sektoru a při sdílení dostupných zdrojů na podporu Nového evropského Bauhausu bude Evropská komise počítat se spoluprací Evropského parlamentu, Rady, Výboru regionů a Evropského hospodářského a sociálního výboru.</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 xml:space="preserve">Zásadní význam bude mít spolupráce členských států a orgánů veřejné správy na mezinárodní, vnitrostátní, regionální a místní úrovni, a to včetně zapojení občanské společnosti a zástupců různých komunit. Nový evropský Bauhaus bude vyžadovat úzkou spolupráci na všech úrovních rámce veřejné správy od propagace participativních procesů společného navrhování až po možnost podpořit financování místních transformačních projektů. </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Na úvod budou členské státy vyzvány, aby pověřily určitý subjekt, který bude působit jako kontaktní místo Nového evropského Bauhausu, jež bude v příslušném státě propojovat a koordinovat úsilí a zapojí se do neformální sítě EU pro výměnu informací a zkušeností.</w:t>
      </w: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Zprávu o pokroku v této iniciativě předloží Evropská komise v roce 2022.</w:t>
      </w:r>
    </w:p>
    <w:p w:rsidR="002F1537" w:rsidRDefault="002F1537">
      <w:pPr>
        <w:spacing w:line="276" w:lineRule="auto"/>
        <w:jc w:val="both"/>
        <w:rPr>
          <w:rFonts w:ascii="EC Square Sans Pro Light" w:hAnsi="EC Square Sans Pro Light" w:cs="Times New Roman"/>
          <w:b/>
          <w:noProof/>
          <w:sz w:val="24"/>
          <w:szCs w:val="24"/>
        </w:rPr>
      </w:pPr>
    </w:p>
    <w:p w:rsidR="002F1537" w:rsidRDefault="00D04A0B">
      <w:pPr>
        <w:spacing w:line="276" w:lineRule="auto"/>
        <w:jc w:val="both"/>
        <w:rPr>
          <w:rFonts w:ascii="EC Square Sans Pro Light" w:hAnsi="EC Square Sans Pro Light" w:cs="Times New Roman"/>
          <w:noProof/>
          <w:sz w:val="24"/>
          <w:szCs w:val="24"/>
        </w:rPr>
      </w:pPr>
      <w:r>
        <w:rPr>
          <w:rFonts w:ascii="EC Square Sans Pro Light" w:hAnsi="EC Square Sans Pro Light"/>
          <w:b/>
          <w:noProof/>
          <w:sz w:val="24"/>
          <w:szCs w:val="24"/>
        </w:rPr>
        <w:t>Přílohy</w:t>
      </w:r>
      <w:r>
        <w:rPr>
          <w:rFonts w:ascii="EC Square Sans Pro Light" w:hAnsi="EC Square Sans Pro Light"/>
          <w:noProof/>
          <w:sz w:val="24"/>
          <w:szCs w:val="24"/>
        </w:rPr>
        <w:t>:</w:t>
      </w:r>
    </w:p>
    <w:p w:rsidR="002F1537" w:rsidRDefault="00D04A0B">
      <w:pPr>
        <w:spacing w:after="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1.</w:t>
      </w:r>
      <w:r>
        <w:rPr>
          <w:noProof/>
        </w:rPr>
        <w:tab/>
      </w:r>
      <w:r>
        <w:rPr>
          <w:rFonts w:ascii="EC Square Sans Pro Light" w:hAnsi="EC Square Sans Pro Light"/>
          <w:noProof/>
          <w:sz w:val="24"/>
          <w:szCs w:val="24"/>
        </w:rPr>
        <w:t>Zpráva o fázi společného návrhu</w:t>
      </w:r>
    </w:p>
    <w:p w:rsidR="002F1537" w:rsidRDefault="00D04A0B">
      <w:pPr>
        <w:spacing w:after="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2.</w:t>
      </w:r>
      <w:r>
        <w:rPr>
          <w:noProof/>
        </w:rPr>
        <w:tab/>
      </w:r>
      <w:r>
        <w:rPr>
          <w:rFonts w:ascii="EC Square Sans Pro Light" w:hAnsi="EC Square Sans Pro Light"/>
          <w:noProof/>
          <w:sz w:val="24"/>
          <w:szCs w:val="24"/>
        </w:rPr>
        <w:t>Mobilizace programů EU</w:t>
      </w:r>
    </w:p>
    <w:p w:rsidR="002F1537" w:rsidRDefault="00D04A0B">
      <w:pPr>
        <w:spacing w:after="0" w:line="276" w:lineRule="auto"/>
        <w:jc w:val="both"/>
        <w:rPr>
          <w:rFonts w:ascii="EC Square Sans Pro Light" w:hAnsi="EC Square Sans Pro Light" w:cs="Times New Roman"/>
          <w:noProof/>
          <w:sz w:val="24"/>
          <w:szCs w:val="24"/>
        </w:rPr>
      </w:pPr>
      <w:r>
        <w:rPr>
          <w:rFonts w:ascii="EC Square Sans Pro Light" w:hAnsi="EC Square Sans Pro Light"/>
          <w:noProof/>
          <w:sz w:val="24"/>
          <w:szCs w:val="24"/>
        </w:rPr>
        <w:t>3.</w:t>
      </w:r>
      <w:r>
        <w:rPr>
          <w:noProof/>
        </w:rPr>
        <w:tab/>
      </w:r>
      <w:r>
        <w:rPr>
          <w:rFonts w:ascii="EC Square Sans Pro Light" w:hAnsi="EC Square Sans Pro Light"/>
          <w:noProof/>
          <w:sz w:val="24"/>
          <w:szCs w:val="24"/>
        </w:rPr>
        <w:t>Politický ekosystém Nového evropského Bauhausu</w:t>
      </w:r>
    </w:p>
    <w:p w:rsidR="002F1537" w:rsidRDefault="002F1537">
      <w:pPr>
        <w:spacing w:after="0" w:line="276" w:lineRule="auto"/>
        <w:jc w:val="both"/>
        <w:rPr>
          <w:rFonts w:ascii="EC Square Sans Pro Light" w:hAnsi="EC Square Sans Pro Light" w:cs="Times New Roman"/>
          <w:noProof/>
          <w:sz w:val="24"/>
          <w:szCs w:val="24"/>
        </w:rPr>
      </w:pPr>
    </w:p>
    <w:p w:rsidR="002F1537" w:rsidRDefault="002F1537">
      <w:pPr>
        <w:spacing w:after="0" w:line="276" w:lineRule="auto"/>
        <w:jc w:val="both"/>
        <w:rPr>
          <w:rFonts w:ascii="EC Square Sans Pro Light" w:hAnsi="EC Square Sans Pro Light" w:cs="Times New Roman"/>
          <w:noProof/>
          <w:sz w:val="24"/>
          <w:szCs w:val="24"/>
        </w:rPr>
      </w:pPr>
    </w:p>
    <w:p w:rsidR="002F1537" w:rsidRDefault="00D04A0B">
      <w:pPr>
        <w:spacing w:line="276" w:lineRule="auto"/>
        <w:jc w:val="both"/>
        <w:rPr>
          <w:rFonts w:ascii="EC Square Sans Pro Light" w:hAnsi="EC Square Sans Pro Light" w:cs="Times New Roman"/>
          <w:b/>
          <w:noProof/>
          <w:sz w:val="24"/>
          <w:szCs w:val="24"/>
        </w:rPr>
      </w:pPr>
      <w:r>
        <w:rPr>
          <w:rFonts w:ascii="EC Square Sans Pro Light" w:hAnsi="EC Square Sans Pro Light"/>
          <w:b/>
          <w:noProof/>
          <w:sz w:val="24"/>
          <w:szCs w:val="24"/>
        </w:rPr>
        <w:t>Poděkování</w:t>
      </w:r>
    </w:p>
    <w:p w:rsidR="002F1537" w:rsidRDefault="00D04A0B">
      <w:pPr>
        <w:autoSpaceDE w:val="0"/>
        <w:autoSpaceDN w:val="0"/>
        <w:adjustRightInd w:val="0"/>
        <w:spacing w:after="0" w:line="240" w:lineRule="auto"/>
        <w:rPr>
          <w:rFonts w:ascii="EC Square Sans Pro Light" w:hAnsi="EC Square Sans Pro Light" w:cs="Lucida Console"/>
          <w:noProof/>
          <w:sz w:val="20"/>
          <w:szCs w:val="20"/>
        </w:rPr>
      </w:pPr>
      <w:r>
        <w:rPr>
          <w:rFonts w:ascii="EC Square Sans Pro Light" w:hAnsi="EC Square Sans Pro Light"/>
          <w:noProof/>
          <w:sz w:val="20"/>
          <w:szCs w:val="20"/>
        </w:rPr>
        <w:t>TITULNÍ STRANA</w:t>
      </w:r>
    </w:p>
    <w:p w:rsidR="002F1537" w:rsidRDefault="00D04A0B">
      <w:pPr>
        <w:pStyle w:val="ListParagraph"/>
        <w:numPr>
          <w:ilvl w:val="0"/>
          <w:numId w:val="46"/>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Tree-House School © Valentino Gareri</w:t>
      </w:r>
    </w:p>
    <w:p w:rsidR="002F1537" w:rsidRDefault="00D04A0B">
      <w:pPr>
        <w:pStyle w:val="ListParagraph"/>
        <w:numPr>
          <w:ilvl w:val="0"/>
          <w:numId w:val="46"/>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Architecture © Adobe Stock – lilymary</w:t>
      </w:r>
    </w:p>
    <w:p w:rsidR="002F1537" w:rsidRDefault="00D04A0B">
      <w:pPr>
        <w:pStyle w:val="ListParagraph"/>
        <w:numPr>
          <w:ilvl w:val="0"/>
          <w:numId w:val="46"/>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Top view of people are resting on the lawn in the park © Adobe Stock – Watman</w:t>
      </w:r>
    </w:p>
    <w:p w:rsidR="002F1537" w:rsidRDefault="002F1537">
      <w:pPr>
        <w:autoSpaceDE w:val="0"/>
        <w:autoSpaceDN w:val="0"/>
        <w:adjustRightInd w:val="0"/>
        <w:spacing w:after="0" w:line="240" w:lineRule="auto"/>
        <w:rPr>
          <w:rFonts w:ascii="EC Square Sans Pro Light" w:hAnsi="EC Square Sans Pro Light" w:cs="Segoe UI Symbol"/>
          <w:noProof/>
          <w:sz w:val="20"/>
          <w:szCs w:val="20"/>
        </w:rPr>
      </w:pPr>
    </w:p>
    <w:p w:rsidR="002F1537" w:rsidRDefault="00D04A0B">
      <w:pPr>
        <w:autoSpaceDE w:val="0"/>
        <w:autoSpaceDN w:val="0"/>
        <w:adjustRightInd w:val="0"/>
        <w:spacing w:after="0" w:line="240" w:lineRule="auto"/>
        <w:rPr>
          <w:rFonts w:ascii="EC Square Sans Pro Light" w:hAnsi="EC Square Sans Pro Light" w:cs="Segoe UI Symbol"/>
          <w:noProof/>
          <w:sz w:val="20"/>
          <w:szCs w:val="20"/>
        </w:rPr>
      </w:pPr>
      <w:r>
        <w:rPr>
          <w:rFonts w:ascii="EC Square Sans Pro Light" w:hAnsi="EC Square Sans Pro Light"/>
          <w:noProof/>
          <w:sz w:val="20"/>
          <w:szCs w:val="20"/>
        </w:rPr>
        <w:t>Uvnitř publikace</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Nautilus shell © Adobe Stock – Dean Pennala</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Green foliage texture © Adobe Stock – Vera Kuttelvaserova</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Top view of people are resting on the lawn in the park © Adobe Stock – Watman</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Laracha Health Centre © H. Santos-Díez</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 xml:space="preserve">Domo - sustainable architecture education in secondary school © Dolores Victoria </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La Ferme du Rail © Myr Muratet.</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The Arch © O.S.T. &amp; Constructlab</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Wunderbugs © Francesco Lipari</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Palaluxottica © Simone Bossi</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Holmes Road Studios © Peter Barber Architects</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Proto-Habitat © Flavien Menu</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Rain gardens at Rundelsgatan in Vellinge © Source: edge</w:t>
      </w:r>
      <w:r>
        <w:rPr>
          <w:rFonts w:ascii="Arial" w:hAnsi="Arial"/>
          <w:noProof/>
          <w:sz w:val="20"/>
          <w:szCs w:val="20"/>
        </w:rPr>
        <w:t>​</w:t>
      </w:r>
      <w:r>
        <w:rPr>
          <w:rFonts w:ascii="EC Square Sans Pro Light" w:hAnsi="EC Square Sans Pro Light"/>
          <w:noProof/>
          <w:sz w:val="20"/>
          <w:szCs w:val="20"/>
        </w:rPr>
        <w:t>s</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Tree-House School © Valentino Gareri</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 xml:space="preserve">Domo - sustainable architecture education in secondary school © Dolores Victoria </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Gleis 21 © H. Hurnaus</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Garden house © C. Pavlou</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Garden house © C. Pavlou</w:t>
      </w:r>
    </w:p>
    <w:p w:rsidR="002F1537" w:rsidRDefault="00D04A0B">
      <w:pPr>
        <w:pStyle w:val="ListParagraph"/>
        <w:numPr>
          <w:ilvl w:val="0"/>
          <w:numId w:val="45"/>
        </w:numPr>
        <w:autoSpaceDE w:val="0"/>
        <w:autoSpaceDN w:val="0"/>
        <w:adjustRightInd w:val="0"/>
        <w:spacing w:after="0"/>
        <w:jc w:val="left"/>
        <w:rPr>
          <w:rFonts w:ascii="EC Square Sans Pro Light" w:hAnsi="EC Square Sans Pro Light" w:cs="Lucida Console"/>
          <w:noProof/>
          <w:sz w:val="20"/>
          <w:szCs w:val="20"/>
        </w:rPr>
      </w:pPr>
      <w:r>
        <w:rPr>
          <w:rFonts w:ascii="EC Square Sans Pro Light" w:hAnsi="EC Square Sans Pro Light"/>
          <w:noProof/>
          <w:sz w:val="20"/>
          <w:szCs w:val="20"/>
        </w:rPr>
        <w:t>The Salt House © R. Hofmanis</w:t>
      </w:r>
    </w:p>
    <w:p w:rsidR="002F1537" w:rsidRDefault="002F1537">
      <w:pPr>
        <w:spacing w:line="276" w:lineRule="auto"/>
        <w:jc w:val="both"/>
        <w:rPr>
          <w:rFonts w:ascii="EC Square Sans Pro Light" w:hAnsi="EC Square Sans Pro Light" w:cs="Times New Roman"/>
          <w:b/>
          <w:noProof/>
          <w:sz w:val="24"/>
          <w:szCs w:val="24"/>
        </w:rPr>
      </w:pPr>
    </w:p>
    <w:sectPr w:rsidR="002F1537">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537" w:rsidRDefault="00D04A0B">
      <w:pPr>
        <w:spacing w:after="0" w:line="240" w:lineRule="auto"/>
      </w:pPr>
      <w:r>
        <w:separator/>
      </w:r>
    </w:p>
  </w:endnote>
  <w:endnote w:type="continuationSeparator" w:id="0">
    <w:p w:rsidR="002F1537" w:rsidRDefault="00D04A0B">
      <w:pPr>
        <w:spacing w:after="0" w:line="240" w:lineRule="auto"/>
      </w:pPr>
      <w:r>
        <w:continuationSeparator/>
      </w:r>
    </w:p>
  </w:endnote>
  <w:endnote w:type="continuationNotice" w:id="1">
    <w:p w:rsidR="002F1537" w:rsidRDefault="002F15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C Square Sans Pro Light">
    <w:altName w:val="Open Sans"/>
    <w:charset w:val="00"/>
    <w:family w:val="swiss"/>
    <w:pitch w:val="variable"/>
    <w:sig w:usb0="A00002B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EC Square Sans Pro Thin">
    <w:altName w:val="Open Sans"/>
    <w:charset w:val="00"/>
    <w:family w:val="swiss"/>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Pr="00D04A0B" w:rsidRDefault="002F1537" w:rsidP="00D04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400"/>
      <w:gridCol w:w="1205"/>
      <w:gridCol w:w="200"/>
      <w:gridCol w:w="1430"/>
      <w:gridCol w:w="848"/>
      <w:gridCol w:w="1135"/>
    </w:tblGrid>
    <w:tr w:rsidR="00D04A0B" w:rsidRPr="00D94637" w:rsidTr="00D04A0B">
      <w:trPr>
        <w:jc w:val="center"/>
      </w:trPr>
      <w:tc>
        <w:tcPr>
          <w:tcW w:w="5000" w:type="pct"/>
          <w:gridSpan w:val="7"/>
          <w:shd w:val="clear" w:color="auto" w:fill="auto"/>
          <w:tcMar>
            <w:top w:w="57" w:type="dxa"/>
          </w:tcMar>
        </w:tcPr>
        <w:p w:rsidR="00D04A0B" w:rsidRPr="00D94637" w:rsidRDefault="00D04A0B" w:rsidP="00D94637">
          <w:pPr>
            <w:pStyle w:val="FooterText"/>
            <w:pBdr>
              <w:top w:val="single" w:sz="4" w:space="1" w:color="auto"/>
            </w:pBdr>
            <w:spacing w:before="200"/>
            <w:rPr>
              <w:sz w:val="2"/>
              <w:szCs w:val="2"/>
            </w:rPr>
          </w:pPr>
          <w:bookmarkStart w:id="3" w:name="FOOTER_STANDARD"/>
        </w:p>
      </w:tc>
    </w:tr>
    <w:tr w:rsidR="00D04A0B" w:rsidRPr="00B310DC" w:rsidTr="00D04A0B">
      <w:trPr>
        <w:jc w:val="center"/>
      </w:trPr>
      <w:tc>
        <w:tcPr>
          <w:tcW w:w="2500" w:type="pct"/>
          <w:gridSpan w:val="2"/>
          <w:shd w:val="clear" w:color="auto" w:fill="auto"/>
          <w:tcMar>
            <w:top w:w="0" w:type="dxa"/>
          </w:tcMar>
        </w:tcPr>
        <w:p w:rsidR="00D04A0B" w:rsidRPr="00AD7BF2" w:rsidRDefault="00D04A0B" w:rsidP="004F54B2">
          <w:pPr>
            <w:pStyle w:val="FooterText"/>
          </w:pPr>
          <w:r>
            <w:t>11892/21</w:t>
          </w:r>
          <w:r w:rsidRPr="002511D8">
            <w:t xml:space="preserve"> </w:t>
          </w:r>
        </w:p>
      </w:tc>
      <w:tc>
        <w:tcPr>
          <w:tcW w:w="625" w:type="pct"/>
          <w:shd w:val="clear" w:color="auto" w:fill="auto"/>
          <w:tcMar>
            <w:top w:w="0" w:type="dxa"/>
          </w:tcMar>
        </w:tcPr>
        <w:p w:rsidR="00D04A0B" w:rsidRPr="00AD7BF2" w:rsidRDefault="00D04A0B" w:rsidP="00D94637">
          <w:pPr>
            <w:pStyle w:val="FooterText"/>
            <w:jc w:val="center"/>
          </w:pPr>
        </w:p>
      </w:tc>
      <w:tc>
        <w:tcPr>
          <w:tcW w:w="1286" w:type="pct"/>
          <w:gridSpan w:val="3"/>
          <w:shd w:val="clear" w:color="auto" w:fill="auto"/>
          <w:tcMar>
            <w:top w:w="0" w:type="dxa"/>
          </w:tcMar>
        </w:tcPr>
        <w:p w:rsidR="00D04A0B" w:rsidRPr="002511D8" w:rsidRDefault="00D04A0B" w:rsidP="00D94637">
          <w:pPr>
            <w:pStyle w:val="FooterText"/>
            <w:jc w:val="center"/>
          </w:pPr>
          <w:r>
            <w:t>vmu</w:t>
          </w:r>
        </w:p>
      </w:tc>
      <w:tc>
        <w:tcPr>
          <w:tcW w:w="589" w:type="pct"/>
          <w:shd w:val="clear" w:color="auto" w:fill="auto"/>
          <w:tcMar>
            <w:top w:w="0" w:type="dxa"/>
          </w:tcMar>
        </w:tcPr>
        <w:p w:rsidR="00D04A0B" w:rsidRPr="00B310DC" w:rsidRDefault="00D04A0B" w:rsidP="00D04A0B">
          <w:pPr>
            <w:pStyle w:val="FooterText"/>
            <w:jc w:val="right"/>
          </w:pPr>
          <w:r>
            <w:fldChar w:fldCharType="begin"/>
          </w:r>
          <w:r>
            <w:instrText xml:space="preserve"> PAGE  \* MERGEFORMAT </w:instrText>
          </w:r>
          <w:r>
            <w:fldChar w:fldCharType="separate"/>
          </w:r>
          <w:r w:rsidR="003F2AC7">
            <w:rPr>
              <w:noProof/>
            </w:rPr>
            <w:t>0</w:t>
          </w:r>
          <w:r>
            <w:fldChar w:fldCharType="end"/>
          </w:r>
        </w:p>
      </w:tc>
    </w:tr>
    <w:tr w:rsidR="00D04A0B" w:rsidRPr="00D94637" w:rsidTr="00D04A0B">
      <w:trPr>
        <w:jc w:val="center"/>
      </w:trPr>
      <w:tc>
        <w:tcPr>
          <w:tcW w:w="1774" w:type="pct"/>
          <w:shd w:val="clear" w:color="auto" w:fill="auto"/>
        </w:tcPr>
        <w:p w:rsidR="00D04A0B" w:rsidRPr="00AD7BF2" w:rsidRDefault="00D04A0B" w:rsidP="00D94637">
          <w:pPr>
            <w:pStyle w:val="FooterText"/>
            <w:spacing w:before="40"/>
          </w:pPr>
        </w:p>
      </w:tc>
      <w:tc>
        <w:tcPr>
          <w:tcW w:w="1455" w:type="pct"/>
          <w:gridSpan w:val="3"/>
          <w:shd w:val="clear" w:color="auto" w:fill="auto"/>
        </w:tcPr>
        <w:p w:rsidR="00D04A0B" w:rsidRPr="00AD7BF2" w:rsidRDefault="00D04A0B" w:rsidP="00D204D6">
          <w:pPr>
            <w:pStyle w:val="FooterText"/>
            <w:spacing w:before="40"/>
            <w:jc w:val="center"/>
          </w:pPr>
          <w:r>
            <w:t>TREE.1.B</w:t>
          </w:r>
        </w:p>
      </w:tc>
      <w:tc>
        <w:tcPr>
          <w:tcW w:w="742" w:type="pct"/>
          <w:shd w:val="clear" w:color="auto" w:fill="auto"/>
        </w:tcPr>
        <w:p w:rsidR="00D04A0B" w:rsidRPr="00D94637" w:rsidRDefault="00D04A0B" w:rsidP="002F0099">
          <w:pPr>
            <w:pStyle w:val="FooterText"/>
            <w:jc w:val="center"/>
            <w:rPr>
              <w:b/>
              <w:position w:val="-4"/>
              <w:sz w:val="36"/>
            </w:rPr>
          </w:pPr>
        </w:p>
      </w:tc>
      <w:tc>
        <w:tcPr>
          <w:tcW w:w="1029" w:type="pct"/>
          <w:gridSpan w:val="2"/>
          <w:shd w:val="clear" w:color="auto" w:fill="auto"/>
        </w:tcPr>
        <w:p w:rsidR="00D04A0B" w:rsidRPr="000310C2" w:rsidRDefault="00D04A0B" w:rsidP="00D94637">
          <w:pPr>
            <w:pStyle w:val="FooterText"/>
            <w:jc w:val="right"/>
            <w:rPr>
              <w:spacing w:val="-20"/>
              <w:sz w:val="16"/>
            </w:rPr>
          </w:pPr>
          <w:r>
            <w:rPr>
              <w:b/>
              <w:spacing w:val="-20"/>
              <w:position w:val="-4"/>
              <w:sz w:val="36"/>
            </w:rPr>
            <w:t>CS</w:t>
          </w:r>
        </w:p>
      </w:tc>
    </w:tr>
    <w:bookmarkEnd w:id="3"/>
  </w:tbl>
  <w:p w:rsidR="002F1537" w:rsidRPr="00D04A0B" w:rsidRDefault="002F1537" w:rsidP="00D04A0B">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D04A0B" w:rsidRPr="00D94637" w:rsidTr="00D04A0B">
      <w:trPr>
        <w:jc w:val="center"/>
      </w:trPr>
      <w:tc>
        <w:tcPr>
          <w:tcW w:w="5000" w:type="pct"/>
          <w:gridSpan w:val="7"/>
          <w:shd w:val="clear" w:color="auto" w:fill="auto"/>
          <w:tcMar>
            <w:top w:w="57" w:type="dxa"/>
          </w:tcMar>
        </w:tcPr>
        <w:p w:rsidR="00D04A0B" w:rsidRPr="00D94637" w:rsidRDefault="00D04A0B" w:rsidP="00D94637">
          <w:pPr>
            <w:pStyle w:val="FooterText"/>
            <w:pBdr>
              <w:top w:val="single" w:sz="4" w:space="1" w:color="auto"/>
            </w:pBdr>
            <w:spacing w:before="200"/>
            <w:rPr>
              <w:sz w:val="2"/>
              <w:szCs w:val="2"/>
            </w:rPr>
          </w:pPr>
        </w:p>
      </w:tc>
    </w:tr>
    <w:tr w:rsidR="00D04A0B" w:rsidRPr="00B310DC" w:rsidTr="00D04A0B">
      <w:trPr>
        <w:jc w:val="center"/>
      </w:trPr>
      <w:tc>
        <w:tcPr>
          <w:tcW w:w="2500" w:type="pct"/>
          <w:gridSpan w:val="2"/>
          <w:shd w:val="clear" w:color="auto" w:fill="auto"/>
          <w:tcMar>
            <w:top w:w="0" w:type="dxa"/>
          </w:tcMar>
        </w:tcPr>
        <w:p w:rsidR="00D04A0B" w:rsidRPr="00AD7BF2" w:rsidRDefault="00D04A0B" w:rsidP="004F54B2">
          <w:pPr>
            <w:pStyle w:val="FooterText"/>
          </w:pPr>
          <w:r>
            <w:t>11892/21</w:t>
          </w:r>
          <w:r w:rsidRPr="002511D8">
            <w:t xml:space="preserve"> </w:t>
          </w:r>
        </w:p>
      </w:tc>
      <w:tc>
        <w:tcPr>
          <w:tcW w:w="625" w:type="pct"/>
          <w:shd w:val="clear" w:color="auto" w:fill="auto"/>
          <w:tcMar>
            <w:top w:w="0" w:type="dxa"/>
          </w:tcMar>
        </w:tcPr>
        <w:p w:rsidR="00D04A0B" w:rsidRPr="00AD7BF2" w:rsidRDefault="00D04A0B" w:rsidP="00D94637">
          <w:pPr>
            <w:pStyle w:val="FooterText"/>
            <w:jc w:val="center"/>
          </w:pPr>
        </w:p>
      </w:tc>
      <w:tc>
        <w:tcPr>
          <w:tcW w:w="1286" w:type="pct"/>
          <w:gridSpan w:val="3"/>
          <w:shd w:val="clear" w:color="auto" w:fill="auto"/>
          <w:tcMar>
            <w:top w:w="0" w:type="dxa"/>
          </w:tcMar>
        </w:tcPr>
        <w:p w:rsidR="00D04A0B" w:rsidRPr="002511D8" w:rsidRDefault="00D04A0B" w:rsidP="00D94637">
          <w:pPr>
            <w:pStyle w:val="FooterText"/>
            <w:jc w:val="center"/>
          </w:pPr>
          <w:r>
            <w:t>vmu</w:t>
          </w:r>
        </w:p>
      </w:tc>
      <w:tc>
        <w:tcPr>
          <w:tcW w:w="589" w:type="pct"/>
          <w:shd w:val="clear" w:color="auto" w:fill="auto"/>
          <w:tcMar>
            <w:top w:w="0" w:type="dxa"/>
          </w:tcMar>
        </w:tcPr>
        <w:p w:rsidR="00D04A0B" w:rsidRPr="00B310DC" w:rsidRDefault="00D04A0B" w:rsidP="00D94637">
          <w:pPr>
            <w:pStyle w:val="FooterText"/>
            <w:jc w:val="right"/>
          </w:pPr>
        </w:p>
      </w:tc>
    </w:tr>
    <w:tr w:rsidR="00D04A0B" w:rsidRPr="00D94637" w:rsidTr="00D04A0B">
      <w:trPr>
        <w:jc w:val="center"/>
      </w:trPr>
      <w:tc>
        <w:tcPr>
          <w:tcW w:w="1774" w:type="pct"/>
          <w:shd w:val="clear" w:color="auto" w:fill="auto"/>
        </w:tcPr>
        <w:p w:rsidR="00D04A0B" w:rsidRPr="00AD7BF2" w:rsidRDefault="00D04A0B" w:rsidP="00D94637">
          <w:pPr>
            <w:pStyle w:val="FooterText"/>
            <w:spacing w:before="40"/>
          </w:pPr>
        </w:p>
      </w:tc>
      <w:tc>
        <w:tcPr>
          <w:tcW w:w="1455" w:type="pct"/>
          <w:gridSpan w:val="3"/>
          <w:shd w:val="clear" w:color="auto" w:fill="auto"/>
        </w:tcPr>
        <w:p w:rsidR="00D04A0B" w:rsidRPr="00AD7BF2" w:rsidRDefault="00D04A0B" w:rsidP="00D204D6">
          <w:pPr>
            <w:pStyle w:val="FooterText"/>
            <w:spacing w:before="40"/>
            <w:jc w:val="center"/>
          </w:pPr>
          <w:r>
            <w:t>TREE.1.B</w:t>
          </w:r>
        </w:p>
      </w:tc>
      <w:tc>
        <w:tcPr>
          <w:tcW w:w="742" w:type="pct"/>
          <w:shd w:val="clear" w:color="auto" w:fill="auto"/>
        </w:tcPr>
        <w:p w:rsidR="00D04A0B" w:rsidRPr="00D94637" w:rsidRDefault="00D04A0B" w:rsidP="002F0099">
          <w:pPr>
            <w:pStyle w:val="FooterText"/>
            <w:jc w:val="center"/>
            <w:rPr>
              <w:b/>
              <w:position w:val="-4"/>
              <w:sz w:val="36"/>
            </w:rPr>
          </w:pPr>
        </w:p>
      </w:tc>
      <w:tc>
        <w:tcPr>
          <w:tcW w:w="1029" w:type="pct"/>
          <w:gridSpan w:val="2"/>
          <w:shd w:val="clear" w:color="auto" w:fill="auto"/>
        </w:tcPr>
        <w:p w:rsidR="00D04A0B" w:rsidRPr="000310C2" w:rsidRDefault="00D04A0B" w:rsidP="00D94637">
          <w:pPr>
            <w:pStyle w:val="FooterText"/>
            <w:jc w:val="right"/>
            <w:rPr>
              <w:spacing w:val="-20"/>
              <w:sz w:val="16"/>
            </w:rPr>
          </w:pPr>
          <w:r>
            <w:rPr>
              <w:b/>
              <w:spacing w:val="-20"/>
              <w:position w:val="-4"/>
              <w:sz w:val="36"/>
            </w:rPr>
            <w:t>CS</w:t>
          </w:r>
        </w:p>
      </w:tc>
    </w:tr>
  </w:tbl>
  <w:p w:rsidR="002F1537" w:rsidRPr="00D04A0B" w:rsidRDefault="002F1537" w:rsidP="00D04A0B">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0B" w:rsidRDefault="00D04A0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0B" w:rsidRDefault="00D04A0B">
    <w:pPr>
      <w:pStyle w:val="FooterCoverPage"/>
      <w:rPr>
        <w:rFonts w:ascii="Arial" w:hAnsi="Arial" w:cs="Arial"/>
        <w:b/>
        <w:sz w:val="48"/>
      </w:rPr>
    </w:pPr>
    <w:r>
      <w:rPr>
        <w:rFonts w:ascii="Arial" w:hAnsi="Arial" w:cs="Arial"/>
        <w:b/>
        <w:sz w:val="48"/>
      </w:rPr>
      <w:t>CS</w:t>
    </w:r>
    <w:r>
      <w:rPr>
        <w:rFonts w:ascii="Arial" w:hAnsi="Arial" w:cs="Arial"/>
        <w:b/>
        <w:sz w:val="48"/>
      </w:rPr>
      <w:tab/>
    </w:r>
    <w:r>
      <w:rPr>
        <w:rFonts w:ascii="Arial" w:hAnsi="Arial" w:cs="Arial"/>
        <w:b/>
        <w:sz w:val="48"/>
      </w:rPr>
      <w:tab/>
    </w:r>
    <w:r>
      <w:tab/>
    </w:r>
    <w:r>
      <w:rPr>
        <w:rFonts w:ascii="Arial" w:hAnsi="Arial" w:cs="Arial"/>
        <w:b/>
        <w:sz w:val="48"/>
      </w:rPr>
      <w:t>CS</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0B" w:rsidRDefault="00D04A0B">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Default="002F15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533789"/>
      <w:docPartObj>
        <w:docPartGallery w:val="Page Numbers (Bottom of Page)"/>
        <w:docPartUnique/>
      </w:docPartObj>
    </w:sdtPr>
    <w:sdtEndPr>
      <w:rPr>
        <w:noProof/>
      </w:rPr>
    </w:sdtEndPr>
    <w:sdtContent>
      <w:p w:rsidR="002F1537" w:rsidRDefault="00D04A0B">
        <w:pPr>
          <w:pStyle w:val="Footer"/>
          <w:jc w:val="center"/>
        </w:pPr>
        <w:r>
          <w:fldChar w:fldCharType="begin"/>
        </w:r>
        <w:r>
          <w:instrText xml:space="preserve"> PAGE   \* MERGEFORMAT </w:instrText>
        </w:r>
        <w:r>
          <w:fldChar w:fldCharType="separate"/>
        </w:r>
        <w:r w:rsidR="003F2AC7">
          <w:rPr>
            <w:noProof/>
          </w:rPr>
          <w:t>1</w:t>
        </w:r>
        <w:r>
          <w:fldChar w:fldCharType="end"/>
        </w:r>
      </w:p>
    </w:sdtContent>
  </w:sdt>
  <w:p w:rsidR="002F1537" w:rsidRDefault="002F15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Default="002F15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537" w:rsidRDefault="00D04A0B">
      <w:pPr>
        <w:spacing w:after="0" w:line="240" w:lineRule="auto"/>
      </w:pPr>
      <w:r>
        <w:separator/>
      </w:r>
    </w:p>
  </w:footnote>
  <w:footnote w:type="continuationSeparator" w:id="0">
    <w:p w:rsidR="002F1537" w:rsidRDefault="00D04A0B">
      <w:pPr>
        <w:spacing w:after="0" w:line="240" w:lineRule="auto"/>
      </w:pPr>
      <w:r>
        <w:continuationSeparator/>
      </w:r>
    </w:p>
  </w:footnote>
  <w:footnote w:type="continuationNotice" w:id="1">
    <w:p w:rsidR="002F1537" w:rsidRDefault="002F1537">
      <w:pPr>
        <w:spacing w:after="0" w:line="240" w:lineRule="auto"/>
      </w:pPr>
    </w:p>
  </w:footnote>
  <w:footnote w:id="2">
    <w:p w:rsidR="002F1537" w:rsidRDefault="00D04A0B">
      <w:pPr>
        <w:pStyle w:val="FootnoteText"/>
      </w:pPr>
      <w:r>
        <w:rPr>
          <w:rStyle w:val="FootnoteReference"/>
        </w:rPr>
        <w:footnoteRef/>
      </w:r>
      <w:r>
        <w:t xml:space="preserve"> </w:t>
      </w:r>
      <w:hyperlink r:id="rId1" w:history="1">
        <w:r>
          <w:rPr>
            <w:color w:val="0000FF"/>
            <w:u w:val="single"/>
          </w:rPr>
          <w:t>Nový Evropský Bauhaus:</w:t>
        </w:r>
      </w:hyperlink>
      <w:hyperlink r:id="rId2" w:history="1">
        <w:r>
          <w:rPr>
            <w:color w:val="0000FF"/>
            <w:u w:val="single"/>
          </w:rPr>
          <w:t xml:space="preserve"> Komise zahajuje fázi návrhu (europa.eu)</w:t>
        </w:r>
      </w:hyperlink>
      <w:r>
        <w:t>.</w:t>
      </w:r>
    </w:p>
  </w:footnote>
  <w:footnote w:id="3">
    <w:p w:rsidR="002F1537" w:rsidRDefault="00D04A0B">
      <w:pPr>
        <w:pStyle w:val="FootnoteText"/>
      </w:pPr>
      <w:r>
        <w:rPr>
          <w:rStyle w:val="FootnoteReference"/>
        </w:rPr>
        <w:footnoteRef/>
      </w:r>
      <w:r>
        <w:t xml:space="preserve"> </w:t>
      </w:r>
      <w:hyperlink r:id="rId3" w:history="1">
        <w:r>
          <w:rPr>
            <w:color w:val="0000FF"/>
            <w:u w:val="single"/>
          </w:rPr>
          <w:t>Společné navrhování Nového evropského Bauhausu (europa.eu)</w:t>
        </w:r>
      </w:hyperlink>
      <w:r>
        <w:t>.</w:t>
      </w:r>
    </w:p>
  </w:footnote>
  <w:footnote w:id="4">
    <w:p w:rsidR="002F1537" w:rsidRDefault="00D04A0B">
      <w:pPr>
        <w:pStyle w:val="FootnoteText"/>
      </w:pPr>
      <w:r>
        <w:rPr>
          <w:rStyle w:val="FootnoteReference"/>
        </w:rPr>
        <w:footnoteRef/>
      </w:r>
      <w:r>
        <w:t xml:space="preserve"> </w:t>
      </w:r>
      <w:hyperlink r:id="rId4" w:history="1">
        <w:r>
          <w:rPr>
            <w:color w:val="0000FF"/>
            <w:u w:val="single"/>
          </w:rPr>
          <w:t>Partneři (europa.eu)</w:t>
        </w:r>
      </w:hyperlink>
      <w:r>
        <w:t>.</w:t>
      </w:r>
    </w:p>
  </w:footnote>
  <w:footnote w:id="5">
    <w:p w:rsidR="002F1537" w:rsidRDefault="00D04A0B">
      <w:pPr>
        <w:pStyle w:val="FootnoteText"/>
      </w:pPr>
      <w:r>
        <w:rPr>
          <w:rStyle w:val="FootnoteReference"/>
        </w:rPr>
        <w:footnoteRef/>
      </w:r>
      <w:r>
        <w:t xml:space="preserve"> </w:t>
      </w:r>
      <w:hyperlink r:id="rId5" w:history="1">
        <w:r>
          <w:rPr>
            <w:color w:val="0000FF"/>
            <w:u w:val="single"/>
          </w:rPr>
          <w:t>Kulatý stůl na vysoké úrovni (europa.eu)</w:t>
        </w:r>
      </w:hyperlink>
      <w:r>
        <w:t>.</w:t>
      </w:r>
    </w:p>
  </w:footnote>
  <w:footnote w:id="6">
    <w:p w:rsidR="002F1537" w:rsidRDefault="00D04A0B">
      <w:pPr>
        <w:pStyle w:val="FootnoteText"/>
      </w:pPr>
      <w:r>
        <w:rPr>
          <w:rStyle w:val="FootnoteReference"/>
        </w:rPr>
        <w:footnoteRef/>
      </w:r>
      <w:r>
        <w:t xml:space="preserve"> </w:t>
      </w:r>
      <w:hyperlink r:id="rId6" w:history="1">
        <w:r>
          <w:rPr>
            <w:color w:val="0000FF"/>
            <w:u w:val="single"/>
          </w:rPr>
          <w:t>Ceny 2021 (europa.eu)</w:t>
        </w:r>
      </w:hyperlink>
      <w:r>
        <w:t>.</w:t>
      </w:r>
    </w:p>
  </w:footnote>
  <w:footnote w:id="7">
    <w:p w:rsidR="002F1537" w:rsidRDefault="00D04A0B">
      <w:pPr>
        <w:pStyle w:val="FootnoteText"/>
      </w:pPr>
      <w:r>
        <w:rPr>
          <w:rStyle w:val="FootnoteReference"/>
        </w:rPr>
        <w:footnoteRef/>
      </w:r>
      <w:r>
        <w:t xml:space="preserve"> </w:t>
      </w:r>
      <w:r>
        <w:tab/>
        <w:t>Pro účely iniciativy Nový evropský Bauhaus se „udržitelností“ rozumí „environmentální udržitelnost“.</w:t>
      </w:r>
    </w:p>
  </w:footnote>
  <w:footnote w:id="8">
    <w:p w:rsidR="002F1537" w:rsidRDefault="00D04A0B">
      <w:pPr>
        <w:pStyle w:val="FootnoteText"/>
      </w:pPr>
      <w:r>
        <w:rPr>
          <w:rStyle w:val="FootnoteReference"/>
        </w:rPr>
        <w:footnoteRef/>
      </w:r>
      <w:r>
        <w:t xml:space="preserve"> </w:t>
      </w:r>
      <w:r>
        <w:tab/>
        <w:t>Tento místní kontext má řadu aspektů, které mohou společně určovat kvalitu života v daném místě: vzdálenost do dobrého zaměstnání, přístup k různým druhům infrastruktury a zařízení, cenová dostupnost bydlení apod.</w:t>
      </w:r>
    </w:p>
  </w:footnote>
  <w:footnote w:id="9">
    <w:p w:rsidR="002F1537" w:rsidRDefault="00D04A0B">
      <w:pPr>
        <w:pStyle w:val="FootnoteText"/>
      </w:pPr>
      <w:r>
        <w:rPr>
          <w:rStyle w:val="FootnoteReference"/>
        </w:rPr>
        <w:footnoteRef/>
      </w:r>
      <w:r>
        <w:t xml:space="preserve"> </w:t>
      </w:r>
      <w:r>
        <w:tab/>
        <w:t>Patří sem osoby, jimž hrozí větší riziko chudoby, marginalizace a/nebo diskriminace, jako jsou např. mladí lidé, senioři, osoby se zdravotním postižením, lesby, gayové, bisexuálové, transsexuálové, nebinární, intersexuální a queer osoby (LGBTIQ), osoby menšinového rasového nebo etnického původu, jako jsou Romové, a náboženské menšiny.</w:t>
      </w:r>
    </w:p>
  </w:footnote>
  <w:footnote w:id="10">
    <w:p w:rsidR="002F1537" w:rsidRDefault="00D04A0B">
      <w:pPr>
        <w:pStyle w:val="FootnoteText"/>
      </w:pPr>
      <w:r>
        <w:rPr>
          <w:rStyle w:val="FootnoteReference"/>
        </w:rPr>
        <w:footnoteRef/>
      </w:r>
      <w:r>
        <w:t xml:space="preserve"> </w:t>
      </w:r>
      <w:r>
        <w:tab/>
        <w:t xml:space="preserve">Viz zpráva EEA č. 21/2019, kapitola 3 „Zdravé životní prostředí, zdravý život: Jak životní prostředí ovlivňuje zdraví a dobré životní podmínky v Evropě“. </w:t>
      </w:r>
    </w:p>
  </w:footnote>
  <w:footnote w:id="11">
    <w:p w:rsidR="002F1537" w:rsidRDefault="00D04A0B">
      <w:pPr>
        <w:pStyle w:val="FootnoteText"/>
      </w:pPr>
      <w:r>
        <w:rPr>
          <w:rStyle w:val="FootnoteReference"/>
        </w:rPr>
        <w:footnoteRef/>
      </w:r>
      <w:r>
        <w:t xml:space="preserve"> </w:t>
      </w:r>
      <w:r>
        <w:tab/>
      </w:r>
      <w:hyperlink r:id="rId7" w:history="1">
        <w:r>
          <w:rPr>
            <w:color w:val="0000FF"/>
            <w:u w:val="single"/>
          </w:rPr>
          <w:t>15minutové město (15minutecity.com)</w:t>
        </w:r>
      </w:hyperlink>
      <w:r>
        <w:t>.</w:t>
      </w:r>
    </w:p>
  </w:footnote>
  <w:footnote w:id="12">
    <w:p w:rsidR="002F1537" w:rsidRDefault="00D04A0B">
      <w:pPr>
        <w:pStyle w:val="FootnoteText"/>
      </w:pPr>
      <w:r>
        <w:rPr>
          <w:rStyle w:val="FootnoteReference"/>
        </w:rPr>
        <w:footnoteRef/>
      </w:r>
      <w:r>
        <w:t xml:space="preserve"> Posílení investic do sociální infrastruktury v Evropě - Úřad pro publikace EU (europa.eu) </w:t>
      </w:r>
      <w:hyperlink r:id="rId8" w:history="1">
        <w:r>
          <w:rPr>
            <w:rStyle w:val="Hyperlink"/>
          </w:rPr>
          <w:t>https://op.europa.eu/en/publication-detail/-/publication/d3129b80-6f7c-11e8-9483-01aa75ed71a1/language-en/format-PDF</w:t>
        </w:r>
      </w:hyperlink>
      <w:r>
        <w:t xml:space="preserve"> </w:t>
      </w:r>
    </w:p>
  </w:footnote>
  <w:footnote w:id="13">
    <w:p w:rsidR="002F1537" w:rsidRDefault="00D04A0B">
      <w:pPr>
        <w:pStyle w:val="FootnoteText"/>
      </w:pPr>
      <w:r>
        <w:rPr>
          <w:rStyle w:val="FootnoteReference"/>
        </w:rPr>
        <w:footnoteRef/>
      </w:r>
      <w:r>
        <w:t xml:space="preserve"> </w:t>
      </w:r>
      <w:hyperlink r:id="rId9" w:history="1">
        <w:r>
          <w:rPr>
            <w:rStyle w:val="Hyperlink"/>
          </w:rPr>
          <w:t>https://digital-strategy.ec.europa.eu/en/policies/digital-compass</w:t>
        </w:r>
      </w:hyperlink>
      <w:r>
        <w:t xml:space="preserve"> </w:t>
      </w:r>
    </w:p>
  </w:footnote>
  <w:footnote w:id="14">
    <w:p w:rsidR="002F1537" w:rsidRDefault="00D04A0B">
      <w:pPr>
        <w:pStyle w:val="FootnoteText"/>
      </w:pPr>
      <w:r>
        <w:rPr>
          <w:rStyle w:val="FootnoteReference"/>
        </w:rPr>
        <w:footnoteRef/>
      </w:r>
      <w:r>
        <w:t xml:space="preserve"> </w:t>
      </w:r>
      <w:hyperlink r:id="rId10" w:tgtFrame="_blank" w:history="1">
        <w:r>
          <w:rPr>
            <w:rStyle w:val="normaltextrun"/>
            <w:color w:val="0563C1"/>
            <w:u w:val="single"/>
            <w:shd w:val="clear" w:color="auto" w:fill="FFFFFF"/>
          </w:rPr>
          <w:t>https://www.routledge.com/Design-for-Sustainability-A-Multi-level-Framework-from-Products-to-Socio-technical/Gaziulusoy/p/book/9781032089959</w:t>
        </w:r>
      </w:hyperlink>
    </w:p>
  </w:footnote>
  <w:footnote w:id="15">
    <w:p w:rsidR="002F1537" w:rsidRDefault="00D04A0B">
      <w:pPr>
        <w:spacing w:after="0"/>
        <w:rPr>
          <w:rFonts w:ascii="EC Square Sans Pro Thin" w:eastAsia="Times New Roman" w:hAnsi="EC Square Sans Pro Thin"/>
        </w:rPr>
      </w:pPr>
      <w:r>
        <w:rPr>
          <w:rStyle w:val="FootnoteReference"/>
          <w:rFonts w:ascii="EC Square Sans Pro Thin" w:hAnsi="EC Square Sans Pro Thin"/>
        </w:rPr>
        <w:footnoteRef/>
      </w:r>
      <w:r>
        <w:rPr>
          <w:rFonts w:ascii="EC Square Sans Pro Thin" w:hAnsi="EC Square Sans Pro Thin"/>
        </w:rPr>
        <w:t xml:space="preserve"> </w:t>
      </w:r>
      <w:hyperlink r:id="rId11" w:history="1">
        <w:r>
          <w:rPr>
            <w:rStyle w:val="Hyperlink"/>
            <w:rFonts w:ascii="EC Square Sans Pro Thin" w:hAnsi="EC Square Sans Pro Thin"/>
          </w:rPr>
          <w:t>http://revistas.unisinos.br/index.php/sdrj/article/view/sdrj.2021.141.02</w:t>
        </w:r>
      </w:hyperlink>
      <w:r>
        <w:rPr>
          <w:rFonts w:ascii="EC Square Sans Pro Thin" w:hAnsi="EC Square Sans Pro Thin"/>
          <w:sz w:val="20"/>
          <w:szCs w:val="20"/>
        </w:rPr>
        <w:t xml:space="preserve"> </w:t>
      </w:r>
    </w:p>
  </w:footnote>
  <w:footnote w:id="16">
    <w:p w:rsidR="002F1537" w:rsidRDefault="00D04A0B">
      <w:pPr>
        <w:pStyle w:val="FootnoteText"/>
      </w:pPr>
      <w:r>
        <w:rPr>
          <w:rStyle w:val="FootnoteReference"/>
        </w:rPr>
        <w:footnoteRef/>
      </w:r>
      <w:r>
        <w:t xml:space="preserve"> </w:t>
      </w:r>
      <w:r>
        <w:tab/>
      </w:r>
      <w:hyperlink r:id="rId12" w:history="1">
        <w:r>
          <w:rPr>
            <w:color w:val="0000FF"/>
            <w:u w:val="single"/>
          </w:rPr>
          <w:t>Důvodová zpráva:</w:t>
        </w:r>
      </w:hyperlink>
      <w:hyperlink r:id="rId13" w:history="1">
        <w:r>
          <w:rPr>
            <w:color w:val="0000FF"/>
            <w:u w:val="single"/>
          </w:rPr>
          <w:t xml:space="preserve"> Evropská městská iniciativa – po roce 2020 (Europa.Eu)</w:t>
        </w:r>
      </w:hyperlink>
      <w:r>
        <w:t>.</w:t>
      </w:r>
    </w:p>
  </w:footnote>
  <w:footnote w:id="17">
    <w:p w:rsidR="002F1537" w:rsidRDefault="00D04A0B">
      <w:pPr>
        <w:pStyle w:val="FootnoteText"/>
      </w:pPr>
      <w:r>
        <w:rPr>
          <w:rStyle w:val="FootnoteReference"/>
        </w:rPr>
        <w:footnoteRef/>
      </w:r>
      <w:r>
        <w:t xml:space="preserve"> </w:t>
      </w:r>
      <w:r>
        <w:tab/>
      </w:r>
      <w:hyperlink r:id="rId14" w:history="1">
        <w:r>
          <w:rPr>
            <w:color w:val="0000FF"/>
            <w:u w:val="single"/>
          </w:rPr>
          <w:t>Mise programu Horizont Evropa |</w:t>
        </w:r>
      </w:hyperlink>
      <w:hyperlink r:id="rId15" w:history="1">
        <w:r>
          <w:rPr>
            <w:color w:val="0000FF"/>
            <w:u w:val="single"/>
          </w:rPr>
          <w:t xml:space="preserve"> Evropská komise (europa.eu)</w:t>
        </w:r>
      </w:hyperlink>
    </w:p>
  </w:footnote>
  <w:footnote w:id="18">
    <w:p w:rsidR="002F1537" w:rsidRDefault="00D04A0B">
      <w:pPr>
        <w:pStyle w:val="FootnoteText"/>
      </w:pPr>
      <w:r>
        <w:rPr>
          <w:rStyle w:val="FootnoteReference"/>
        </w:rPr>
        <w:footnoteRef/>
      </w:r>
      <w:r>
        <w:t xml:space="preserve"> Evropský inovační a technologický institut zveřejnil v souladu s Novým evropským Bauhausem výzvu k předkládání návrhů na zapojení občanů. Cílem je rozvíjet činnosti, při nichž budou občané vyzýváni nejen k tomu, aby určili, jaké problémy je potřeba řešit v jejich městě, ale také ke spolupráci při rozvíjení nápadů ohledně možných řešení (</w:t>
      </w:r>
      <w:hyperlink r:id="rId16" w:history="1">
        <w:r>
          <w:rPr>
            <w:rStyle w:val="Hyperlink"/>
          </w:rPr>
          <w:t>https://www.eiturbanmobility.eu/launch-of-cross-kic-new-european-bauhaus-call-for-proposals-for-citizen-engagement/</w:t>
        </w:r>
      </w:hyperlink>
      <w:r>
        <w:t>).</w:t>
      </w:r>
    </w:p>
  </w:footnote>
  <w:footnote w:id="19">
    <w:p w:rsidR="002F1537" w:rsidRDefault="00D04A0B">
      <w:pPr>
        <w:pStyle w:val="FootnoteText"/>
      </w:pPr>
      <w:r>
        <w:rPr>
          <w:rStyle w:val="FootnoteReference"/>
        </w:rPr>
        <w:footnoteRef/>
      </w:r>
      <w:r>
        <w:t xml:space="preserve"> </w:t>
      </w:r>
      <w:hyperlink r:id="rId17" w:history="1">
        <w:r>
          <w:rPr>
            <w:rStyle w:val="Hyperlink"/>
          </w:rPr>
          <w:t>Evropský inovační a technologický institut (EIT) (europa.eu)</w:t>
        </w:r>
      </w:hyperlink>
      <w:r>
        <w:t>.</w:t>
      </w:r>
    </w:p>
  </w:footnote>
  <w:footnote w:id="20">
    <w:p w:rsidR="002F1537" w:rsidRDefault="00D04A0B">
      <w:pPr>
        <w:pStyle w:val="FootnoteText"/>
      </w:pPr>
      <w:r>
        <w:rPr>
          <w:rStyle w:val="FootnoteReference"/>
        </w:rPr>
        <w:footnoteRef/>
      </w:r>
      <w:r>
        <w:t xml:space="preserve"> </w:t>
      </w:r>
      <w:hyperlink r:id="rId18" w:history="1">
        <w:r>
          <w:rPr>
            <w:rStyle w:val="Hyperlink"/>
          </w:rPr>
          <w:t>Evropská rada pro inovace (europa.eu)</w:t>
        </w:r>
      </w:hyperlink>
      <w:r>
        <w:t>.</w:t>
      </w:r>
    </w:p>
  </w:footnote>
  <w:footnote w:id="21">
    <w:p w:rsidR="002F1537" w:rsidRDefault="00D04A0B">
      <w:pPr>
        <w:pStyle w:val="FootnoteText"/>
      </w:pPr>
      <w:r>
        <w:rPr>
          <w:rStyle w:val="FootnoteReference"/>
        </w:rPr>
        <w:footnoteRef/>
      </w:r>
      <w:r>
        <w:t xml:space="preserve"> Podprogram Příroda a biologická rozmanitost a podprogram Oběhové hospodářství a kvalita života v rámci programu </w:t>
      </w:r>
      <w:hyperlink r:id="rId19" w:history="1">
        <w:r>
          <w:rPr>
            <w:rStyle w:val="Hyperlink"/>
          </w:rPr>
          <w:t>LIFE (europa.eu)</w:t>
        </w:r>
      </w:hyperlink>
      <w:r>
        <w:t>.</w:t>
      </w:r>
    </w:p>
  </w:footnote>
  <w:footnote w:id="22">
    <w:p w:rsidR="002F1537" w:rsidRDefault="00D04A0B">
      <w:pPr>
        <w:pStyle w:val="FootnoteText"/>
      </w:pPr>
      <w:r>
        <w:rPr>
          <w:rStyle w:val="FootnoteReference"/>
        </w:rPr>
        <w:footnoteRef/>
      </w:r>
      <w:r>
        <w:t xml:space="preserve"> </w:t>
      </w:r>
      <w:hyperlink r:id="rId20" w:history="1">
        <w:r>
          <w:rPr>
            <w:color w:val="0000FF"/>
            <w:u w:val="single"/>
          </w:rPr>
          <w:t>Program pro jednotný trh |</w:t>
        </w:r>
      </w:hyperlink>
      <w:hyperlink r:id="rId21" w:history="1">
        <w:r>
          <w:rPr>
            <w:color w:val="0000FF"/>
            <w:u w:val="single"/>
          </w:rPr>
          <w:t xml:space="preserve"> Evropská komise (europa.eu)</w:t>
        </w:r>
      </w:hyperlink>
    </w:p>
  </w:footnote>
  <w:footnote w:id="23">
    <w:p w:rsidR="002F1537" w:rsidRDefault="00D04A0B">
      <w:pPr>
        <w:pStyle w:val="FootnoteText"/>
      </w:pPr>
      <w:r>
        <w:rPr>
          <w:rStyle w:val="FootnoteReference"/>
        </w:rPr>
        <w:footnoteRef/>
      </w:r>
      <w:r>
        <w:t xml:space="preserve"> </w:t>
      </w:r>
      <w:hyperlink r:id="rId22" w:history="1">
        <w:r>
          <w:rPr>
            <w:rStyle w:val="Hyperlink"/>
          </w:rPr>
          <w:t>COSME.</w:t>
        </w:r>
      </w:hyperlink>
      <w:hyperlink r:id="rId23" w:history="1">
        <w:r>
          <w:rPr>
            <w:rStyle w:val="Hyperlink"/>
          </w:rPr>
          <w:t xml:space="preserve"> Evropský program pro malé a střední podniky.</w:t>
        </w:r>
      </w:hyperlink>
      <w:hyperlink r:id="rId24" w:history="1">
        <w:r>
          <w:rPr>
            <w:rStyle w:val="Hyperlink"/>
          </w:rPr>
          <w:t xml:space="preserve"> |</w:t>
        </w:r>
      </w:hyperlink>
      <w:hyperlink r:id="rId25" w:history="1">
        <w:r>
          <w:rPr>
            <w:rStyle w:val="Hyperlink"/>
          </w:rPr>
          <w:t xml:space="preserve"> Vnitřní trh, průmysl, podnikání a malé a střední podniky (europa.eu)</w:t>
        </w:r>
      </w:hyperlink>
      <w:r>
        <w:t>.</w:t>
      </w:r>
    </w:p>
  </w:footnote>
  <w:footnote w:id="24">
    <w:p w:rsidR="002F1537" w:rsidRDefault="00D04A0B">
      <w:pPr>
        <w:pStyle w:val="FootnoteText"/>
      </w:pPr>
      <w:r>
        <w:rPr>
          <w:rStyle w:val="FootnoteReference"/>
        </w:rPr>
        <w:footnoteRef/>
      </w:r>
      <w:r>
        <w:t xml:space="preserve"> </w:t>
      </w:r>
      <w:hyperlink r:id="rId26" w:history="1">
        <w:r>
          <w:rPr>
            <w:color w:val="0000FF"/>
            <w:u w:val="single"/>
          </w:rPr>
          <w:t>Partnerský projekt WORTH (worthproject.eu)</w:t>
        </w:r>
      </w:hyperlink>
      <w:r>
        <w:t>.</w:t>
      </w:r>
    </w:p>
  </w:footnote>
  <w:footnote w:id="25">
    <w:p w:rsidR="002F1537" w:rsidRDefault="00D04A0B">
      <w:pPr>
        <w:pStyle w:val="FootnoteText"/>
      </w:pPr>
      <w:r>
        <w:rPr>
          <w:rStyle w:val="FootnoteReference"/>
        </w:rPr>
        <w:footnoteRef/>
      </w:r>
      <w:r>
        <w:t xml:space="preserve"> Přidat odkaz na výzvu, pokud bude připravena do 14. září.</w:t>
      </w:r>
    </w:p>
  </w:footnote>
  <w:footnote w:id="26">
    <w:p w:rsidR="002F1537" w:rsidRDefault="00D04A0B">
      <w:pPr>
        <w:pStyle w:val="FootnoteText"/>
      </w:pPr>
      <w:r>
        <w:rPr>
          <w:rStyle w:val="FootnoteReference"/>
        </w:rPr>
        <w:footnoteRef/>
      </w:r>
      <w:r>
        <w:t xml:space="preserve"> https://bigbuyers.eu/</w:t>
      </w:r>
    </w:p>
  </w:footnote>
  <w:footnote w:id="27">
    <w:p w:rsidR="002F1537" w:rsidRDefault="00D04A0B">
      <w:pPr>
        <w:pStyle w:val="FootnoteText"/>
      </w:pPr>
      <w:r>
        <w:rPr>
          <w:rStyle w:val="FootnoteReference"/>
        </w:rPr>
        <w:footnoteRef/>
      </w:r>
      <w:r>
        <w:t xml:space="preserve"> </w:t>
      </w:r>
      <w:r>
        <w:tab/>
        <w:t>Tato výzva cílí na spolupráci mezi širším okruhem zúčastněných stran: studenty, univerzitami, podniky, nevládními organizacemi, občanskou společností apod.).</w:t>
      </w:r>
    </w:p>
  </w:footnote>
  <w:footnote w:id="28">
    <w:p w:rsidR="002F1537" w:rsidRDefault="00D04A0B">
      <w:pPr>
        <w:pStyle w:val="FootnoteText"/>
      </w:pPr>
      <w:r>
        <w:rPr>
          <w:rStyle w:val="FootnoteReference"/>
        </w:rPr>
        <w:footnoteRef/>
      </w:r>
      <w:r>
        <w:t xml:space="preserve"> </w:t>
      </w:r>
      <w:r>
        <w:tab/>
        <w:t>Viz Davoský systém kvality stavební kultury – Davoská deklarace 2018.</w:t>
      </w:r>
    </w:p>
  </w:footnote>
  <w:footnote w:id="29">
    <w:p w:rsidR="002F1537" w:rsidRDefault="00D04A0B">
      <w:pPr>
        <w:pStyle w:val="FootnoteText"/>
      </w:pPr>
      <w:r>
        <w:rPr>
          <w:rStyle w:val="FootnoteReference"/>
        </w:rPr>
        <w:footnoteRef/>
      </w:r>
      <w:r>
        <w:t xml:space="preserve"> </w:t>
      </w:r>
      <w:r>
        <w:tab/>
        <w:t>Závěrečná zpráva expertní skupiny pro vysoce kvalitní architekturu a zastavěné prostředí pro všechny bude zveřejněna ve druhé polovině září 2021.</w:t>
      </w:r>
    </w:p>
  </w:footnote>
  <w:footnote w:id="30">
    <w:p w:rsidR="002F1537" w:rsidRDefault="00D04A0B">
      <w:pPr>
        <w:pStyle w:val="FootnoteText"/>
      </w:pPr>
      <w:r>
        <w:rPr>
          <w:rStyle w:val="FootnoteReference"/>
        </w:rPr>
        <w:footnoteRef/>
      </w:r>
      <w:r>
        <w:t xml:space="preserve"> </w:t>
      </w:r>
      <w:r>
        <w:tab/>
      </w:r>
      <w:hyperlink r:id="rId27" w:history="1">
        <w:r>
          <w:rPr>
            <w:rStyle w:val="Hyperlink"/>
          </w:rPr>
          <w:t>eTwinning – úvodní stránka</w:t>
        </w:r>
      </w:hyperlink>
      <w:r>
        <w:t>.</w:t>
      </w:r>
    </w:p>
  </w:footnote>
  <w:footnote w:id="31">
    <w:p w:rsidR="002F1537" w:rsidRDefault="00D04A0B">
      <w:pPr>
        <w:pStyle w:val="FootnoteText"/>
      </w:pPr>
      <w:r>
        <w:rPr>
          <w:rStyle w:val="FootnoteReference"/>
        </w:rPr>
        <w:footnoteRef/>
      </w:r>
      <w:r>
        <w:t xml:space="preserve"> </w:t>
      </w:r>
      <w:r>
        <w:tab/>
      </w:r>
      <w:hyperlink r:id="rId28" w:history="1">
        <w:r>
          <w:rPr>
            <w:color w:val="0000FF"/>
            <w:u w:val="single"/>
          </w:rPr>
          <w:t>DiscoverEU |</w:t>
        </w:r>
      </w:hyperlink>
      <w:hyperlink r:id="rId29" w:history="1">
        <w:r>
          <w:rPr>
            <w:color w:val="0000FF"/>
            <w:u w:val="single"/>
          </w:rPr>
          <w:t xml:space="preserve"> Evropský portál pro mládež (europa.eu)</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Pr="00D04A0B" w:rsidRDefault="002F1537" w:rsidP="00D04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Pr="00D04A0B" w:rsidRDefault="00D04A0B" w:rsidP="00D04A0B">
    <w:pPr>
      <w:pStyle w:val="HeaderCouncilLarge"/>
    </w:pPr>
    <w:r>
      <w:t>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Pr="00D04A0B" w:rsidRDefault="00D04A0B" w:rsidP="00D04A0B">
    <w:pPr>
      <w:pStyle w:val="HeaderCouncil"/>
    </w:pPr>
    <w:r>
      <w:t>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0B" w:rsidRDefault="00D04A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0B" w:rsidRDefault="00D04A0B">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A0B" w:rsidRDefault="00D04A0B">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Default="002F15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Default="002F153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537" w:rsidRDefault="002F15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D22BE"/>
    <w:multiLevelType w:val="hybridMultilevel"/>
    <w:tmpl w:val="14844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14135"/>
    <w:multiLevelType w:val="hybridMultilevel"/>
    <w:tmpl w:val="CDB89BB8"/>
    <w:lvl w:ilvl="0" w:tplc="78609E2E">
      <w:start w:val="2"/>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681514"/>
    <w:multiLevelType w:val="hybridMultilevel"/>
    <w:tmpl w:val="A4446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91041"/>
    <w:multiLevelType w:val="hybridMultilevel"/>
    <w:tmpl w:val="12B8A4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2153457"/>
    <w:multiLevelType w:val="hybridMultilevel"/>
    <w:tmpl w:val="4C2A6834"/>
    <w:lvl w:ilvl="0" w:tplc="2DBA92A6">
      <w:numFmt w:val="bullet"/>
      <w:lvlText w:val="-"/>
      <w:lvlJc w:val="left"/>
      <w:pPr>
        <w:ind w:left="720" w:hanging="360"/>
      </w:pPr>
      <w:rPr>
        <w:rFonts w:ascii="EC Square Sans Pro Light" w:eastAsiaTheme="minorHAnsi" w:hAnsi="EC Square Sans Pr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D6AB7"/>
    <w:multiLevelType w:val="hybridMultilevel"/>
    <w:tmpl w:val="5AB6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5412DA"/>
    <w:multiLevelType w:val="hybridMultilevel"/>
    <w:tmpl w:val="CD54AF50"/>
    <w:lvl w:ilvl="0" w:tplc="014873AE">
      <w:start w:val="1"/>
      <w:numFmt w:val="bullet"/>
      <w:pStyle w:val="TechnicalBlock"/>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278B2"/>
    <w:multiLevelType w:val="hybridMultilevel"/>
    <w:tmpl w:val="81982496"/>
    <w:lvl w:ilvl="0" w:tplc="2DBA92A6">
      <w:numFmt w:val="bullet"/>
      <w:lvlText w:val="-"/>
      <w:lvlJc w:val="left"/>
      <w:pPr>
        <w:ind w:left="720" w:hanging="360"/>
      </w:pPr>
      <w:rPr>
        <w:rFonts w:ascii="EC Square Sans Pro Light" w:eastAsiaTheme="minorHAnsi" w:hAnsi="EC Square Sans Pro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74D0F"/>
    <w:multiLevelType w:val="hybridMultilevel"/>
    <w:tmpl w:val="0904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0450D1"/>
    <w:multiLevelType w:val="hybridMultilevel"/>
    <w:tmpl w:val="88E671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9A4F90"/>
    <w:multiLevelType w:val="hybridMultilevel"/>
    <w:tmpl w:val="15781426"/>
    <w:lvl w:ilvl="0" w:tplc="34C6DB18">
      <w:start w:val="1"/>
      <w:numFmt w:val="lowerLetter"/>
      <w:lvlText w:val="%1)"/>
      <w:lvlJc w:val="left"/>
      <w:pPr>
        <w:ind w:left="720" w:hanging="360"/>
      </w:pPr>
      <w:rPr>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4721DD"/>
    <w:multiLevelType w:val="hybridMultilevel"/>
    <w:tmpl w:val="18D292E8"/>
    <w:lvl w:ilvl="0" w:tplc="44F6FC4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DA4B5B"/>
    <w:multiLevelType w:val="multilevel"/>
    <w:tmpl w:val="602853A8"/>
    <w:lvl w:ilvl="0">
      <w:start w:val="1"/>
      <w:numFmt w:val="decimal"/>
      <w:pStyle w:val="Heading1"/>
      <w:lvlText w:val="%1."/>
      <w:lvlJc w:val="left"/>
      <w:pPr>
        <w:tabs>
          <w:tab w:val="left" w:pos="482"/>
        </w:tabs>
        <w:ind w:left="482" w:hanging="482"/>
        <w:jc w:val="both"/>
      </w:pPr>
    </w:lvl>
    <w:lvl w:ilvl="1">
      <w:start w:val="1"/>
      <w:numFmt w:val="decimal"/>
      <w:pStyle w:val="Heading2"/>
      <w:lvlText w:val="%1.%2."/>
      <w:lvlJc w:val="left"/>
      <w:pPr>
        <w:tabs>
          <w:tab w:val="left" w:pos="2586"/>
        </w:tabs>
        <w:ind w:left="2586" w:hanging="601"/>
        <w:jc w:val="both"/>
      </w:pPr>
      <w:rPr>
        <w:b w:val="0"/>
      </w:rPr>
    </w:lvl>
    <w:lvl w:ilvl="2">
      <w:start w:val="1"/>
      <w:numFmt w:val="decimal"/>
      <w:pStyle w:val="Heading3"/>
      <w:lvlText w:val="%1.%2.%3."/>
      <w:lvlJc w:val="left"/>
      <w:pPr>
        <w:tabs>
          <w:tab w:val="left" w:pos="7784"/>
        </w:tabs>
        <w:ind w:left="7784" w:hanging="839"/>
        <w:jc w:val="both"/>
      </w:pPr>
    </w:lvl>
    <w:lvl w:ilvl="3">
      <w:start w:val="1"/>
      <w:numFmt w:val="decimal"/>
      <w:pStyle w:val="Heading4"/>
      <w:lvlText w:val="%1.%2.%3.%4."/>
      <w:lvlJc w:val="left"/>
      <w:pPr>
        <w:tabs>
          <w:tab w:val="left" w:pos="5919"/>
        </w:tabs>
        <w:ind w:left="5919" w:hanging="958"/>
        <w:jc w:val="both"/>
      </w:pPr>
      <w:rPr>
        <w:color w:val="auto"/>
      </w:rPr>
    </w:lvl>
    <w:lvl w:ilvl="4">
      <w:start w:val="1"/>
      <w:numFmt w:val="decimal"/>
      <w:pStyle w:val="Heading5"/>
      <w:lvlText w:val="%1.%2.%3.%4.%5."/>
      <w:lvlJc w:val="left"/>
      <w:pPr>
        <w:tabs>
          <w:tab w:val="left" w:pos="2880"/>
        </w:tabs>
        <w:ind w:left="3838" w:hanging="958"/>
        <w:jc w:val="both"/>
      </w:pPr>
    </w:lvl>
    <w:lvl w:ilvl="5">
      <w:start w:val="1"/>
      <w:numFmt w:val="decimal"/>
      <w:pStyle w:val="Heading6"/>
      <w:lvlText w:val="%1.%2.%3.%4.%5.%6."/>
      <w:lvlJc w:val="left"/>
      <w:pPr>
        <w:tabs>
          <w:tab w:val="left" w:pos="2880"/>
        </w:tabs>
        <w:ind w:left="3838" w:hanging="958"/>
        <w:jc w:val="both"/>
      </w:pPr>
    </w:lvl>
    <w:lvl w:ilvl="6">
      <w:start w:val="1"/>
      <w:numFmt w:val="decimal"/>
      <w:pStyle w:val="Heading7"/>
      <w:lvlText w:val="%1.%2.%3.%4.%5.%6.%7."/>
      <w:lvlJc w:val="left"/>
      <w:pPr>
        <w:tabs>
          <w:tab w:val="left" w:pos="2880"/>
        </w:tabs>
        <w:ind w:left="3838" w:hanging="958"/>
        <w:jc w:val="both"/>
      </w:pPr>
    </w:lvl>
    <w:lvl w:ilvl="7">
      <w:start w:val="1"/>
      <w:numFmt w:val="decimal"/>
      <w:pStyle w:val="Heading8"/>
      <w:lvlText w:val="%1.%2.%3.%4.%5.%6.%7.%8."/>
      <w:lvlJc w:val="left"/>
      <w:pPr>
        <w:tabs>
          <w:tab w:val="left" w:pos="2880"/>
        </w:tabs>
        <w:ind w:left="3838" w:hanging="958"/>
        <w:jc w:val="both"/>
      </w:pPr>
    </w:lvl>
    <w:lvl w:ilvl="8">
      <w:start w:val="1"/>
      <w:numFmt w:val="decimal"/>
      <w:pStyle w:val="Heading9"/>
      <w:lvlText w:val="%1.%2.%3.%4.%5.%6.%7.%8.%9."/>
      <w:lvlJc w:val="left"/>
      <w:pPr>
        <w:tabs>
          <w:tab w:val="left" w:pos="2880"/>
        </w:tabs>
        <w:ind w:left="3838" w:hanging="958"/>
        <w:jc w:val="both"/>
      </w:pPr>
    </w:lvl>
  </w:abstractNum>
  <w:abstractNum w:abstractNumId="14" w15:restartNumberingAfterBreak="0">
    <w:nsid w:val="742D3BC2"/>
    <w:multiLevelType w:val="hybridMultilevel"/>
    <w:tmpl w:val="F7621AB2"/>
    <w:lvl w:ilvl="0" w:tplc="08090001">
      <w:start w:val="1"/>
      <w:numFmt w:val="bullet"/>
      <w:lvlText w:val=""/>
      <w:lvlJc w:val="left"/>
      <w:pPr>
        <w:ind w:left="720" w:hanging="360"/>
      </w:pPr>
      <w:rPr>
        <w:rFonts w:ascii="Symbol" w:hAnsi="Symbol" w:hint="default"/>
      </w:rPr>
    </w:lvl>
    <w:lvl w:ilvl="1" w:tplc="62F0EDDA">
      <w:numFmt w:val="bullet"/>
      <w:lvlText w:val="•"/>
      <w:lvlJc w:val="left"/>
      <w:pPr>
        <w:ind w:left="1813" w:hanging="733"/>
      </w:pPr>
      <w:rPr>
        <w:rFonts w:ascii="EC Square Sans Pro Light" w:eastAsia="Times New Roman" w:hAnsi="EC Square Sans Pro Ligh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9874E4"/>
    <w:multiLevelType w:val="hybridMultilevel"/>
    <w:tmpl w:val="1C24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A125D9"/>
    <w:multiLevelType w:val="hybridMultilevel"/>
    <w:tmpl w:val="FDE6FB32"/>
    <w:lvl w:ilvl="0" w:tplc="5D7819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2"/>
  </w:num>
  <w:num w:numId="3">
    <w:abstractNumId w:val="0"/>
  </w:num>
  <w:num w:numId="4">
    <w:abstractNumId w:val="14"/>
  </w:num>
  <w:num w:numId="5">
    <w:abstractNumId w:val="11"/>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4"/>
  </w:num>
  <w:num w:numId="30">
    <w:abstractNumId w:val="1"/>
  </w:num>
  <w:num w:numId="31">
    <w:abstractNumId w:val="13"/>
  </w:num>
  <w:num w:numId="32">
    <w:abstractNumId w:val="16"/>
  </w:num>
  <w:num w:numId="33">
    <w:abstractNumId w:val="12"/>
  </w:num>
  <w:num w:numId="34">
    <w:abstractNumId w:val="13"/>
  </w:num>
  <w:num w:numId="35">
    <w:abstractNumId w:val="13"/>
  </w:num>
  <w:num w:numId="36">
    <w:abstractNumId w:val="13"/>
  </w:num>
  <w:num w:numId="37">
    <w:abstractNumId w:val="13"/>
  </w:num>
  <w:num w:numId="38">
    <w:abstractNumId w:val="10"/>
  </w:num>
  <w:num w:numId="39">
    <w:abstractNumId w:val="8"/>
  </w:num>
  <w:num w:numId="40">
    <w:abstractNumId w:val="5"/>
  </w:num>
  <w:num w:numId="41">
    <w:abstractNumId w:val="15"/>
  </w:num>
  <w:num w:numId="42">
    <w:abstractNumId w:val="6"/>
  </w:num>
  <w:num w:numId="43">
    <w:abstractNumId w:val="9"/>
  </w:num>
  <w:num w:numId="44">
    <w:abstractNumId w:val="14"/>
  </w:num>
  <w:num w:numId="45">
    <w:abstractNumId w:val="7"/>
  </w:num>
  <w:num w:numId="4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FR" w:vendorID="64" w:dllVersion="131078" w:nlCheck="1" w:checkStyle="0"/>
  <w:activeWritingStyle w:appName="MSWord" w:lang="fr-BE" w:vendorID="64" w:dllVersion="131078" w:nlCheck="1" w:checkStyle="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5.2&quot; technicalblockguid=&quot;5216880096393959316&quot;&gt;_x000d__x000a_  &lt;metadata key=&quot;md_DocumentLanguages&quot;&gt;_x000d__x000a_    &lt;basicdatatypelist&gt;_x000d__x000a_      &lt;language key=&quot;CS&quot; text=&quot;CS&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PR&amp;#366;VODNÍ POZNÁMKA&quot; /&gt;_x000d__x000a_    &lt;/basicdatatype&gt;_x000d__x000a_  &lt;/metadata&gt;_x000d__x000a_  &lt;metadata key=&quot;md_HeadingText&quot;&gt;_x000d__x000a_    &lt;headingtext text=&quot;PR&amp;#366;VODNÍ POZNÁMKA&quot;&gt;_x000d__x000a_      &lt;formattedtext&gt;_x000d__x000a_        &lt;xaml text=&quot;PR&amp;#366;VODNÍ POZNÁMKA&quot;&gt;&amp;lt;FlowDocument xmlns=&quot;http://schemas.microsoft.com/winfx/2006/xaml/presentation&quot;&amp;gt;&amp;lt;Paragraph&amp;gt;PR&amp;#366;VODNÍ POZNÁMKA&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Rada Evropské unie&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el&quot; /&gt;_x000d__x000a_    &lt;/basicdatatype&gt;_x000d__x000a_  &lt;/metadata&gt;_x000d__x000a_  &lt;metadata key=&quot;md_DocumentDate&quot;&gt;_x000d__x000a_    &lt;text&gt;2021-09-16&lt;/text&gt;_x000d__x000a_  &lt;/metadata&gt;_x000d__x000a_  &lt;metadata key=&quot;md_Prefix&quot;&gt;_x000d__x000a_    &lt;text&gt;&lt;/text&gt;_x000d__x000a_  &lt;/metadata&gt;_x000d__x000a_  &lt;metadata key=&quot;md_DocumentNumber&quot;&gt;_x000d__x000a_    &lt;text&gt;11892&lt;/text&gt;_x000d__x000a_  &lt;/metadata&gt;_x000d__x000a_  &lt;metadata key=&quot;md_YearDocumentNumber&quot;&gt;_x000d__x000a_    &lt;text&gt;2021&lt;/text&gt;_x000d__x000a_  &lt;/metadata&gt;_x000d__x000a_  &lt;metadata key=&quot;md_Suffixes&quot;&gt;_x000d__x000a_    &lt;text&gt;&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CULT 73&lt;/text&gt;_x000d__x000a_      &lt;text&gt;SUSTDEV 116&lt;/text&gt;_x000d__x000a_      &lt;text&gt;SOC 517&lt;/text&gt;_x000d__x000a_      &lt;text&gt;ENV 644&lt;/text&gt;_x000d__x000a_      &lt;text&gt;CLIMA 244&lt;/text&gt;_x000d__x000a_      &lt;text&gt;RECH 403&lt;/text&gt;_x000d__x000a_      &lt;text&gt;ECO 94&lt;/text&gt;_x000d__x000a_      &lt;text&gt;EDUC 296&lt;/text&gt;_x000d__x000a_      &lt;text&gt;JEUN 94&lt;/text&gt;_x000d__x000a_      &lt;text&gt;IND 243&lt;/text&gt;_x000d__x000a_      &lt;text&gt;TEXT 1&lt;/text&gt;_x000d__x000a_      &lt;text&gt;TRANS 558&lt;/text&gt;_x000d__x000a_      &lt;text&gt;ENER 385&lt;/text&gt;_x000d__x000a_      &lt;text&gt;GENDER 86&lt;/text&gt;_x000d__x000a_      &lt;text&gt;DIGIT 124&lt;/text&gt;_x000d__x000a_      &lt;text&gt;TOUR 72&lt;/text&gt;_x000d__x000a_      &lt;text&gt;RELEX 770&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 /&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Martine DEPREZOVÁ, &amp;#345;editelka, za generální tajemnici Evropské komise&quot; /&gt;_x000d__x000a_    &lt;/basicdatatype&gt;_x000d__x000a_  &lt;/metadata&gt;_x000d__x000a_  &lt;metadata key=&quot;md_Recipient&quot;&gt;_x000d__x000a_    &lt;basicdatatype&gt;_x000d__x000a_      &lt;recipient key=&quot;re_02&quot; text=&quot;Jeppe TRANHOLM-MIKKELSEN, generální tajemník Rady Evropské unie&quot; /&gt;_x000d__x000a_    &lt;/basicdatatype&gt;_x000d__x000a_  &lt;/metadata&gt;_x000d__x000a_  &lt;metadata key=&quot;md_DateOfReceipt&quot;&gt;_x000d__x000a_    &lt;text&gt;2021-09-15&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1) 573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SD&amp;#282;LENÍ KOMISE EVROPSKÉMU PARLAMENTU, RAD&amp;#282;, EVROPSKÉMU HOSPODÁ&amp;#344;SKÉMU A SOCIÁLNÍMU VÝBORU  A VÝBORU REGION&amp;#366;  Nový evropský Bauhaus Estetika, udr&amp;#382;itelnost, pospolitost&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 xml:space=&quot;preserve&quot;&amp;gt;SD&amp;#282;LENÍ KOMISE EVROPSKÉMU PARLAMENTU, RAD&amp;#282;, EVROPSKÉMU HOSPODÁ&amp;#344;SKÉMU A SOCIÁLNÍMU VÝBORU &amp;lt;LineBreak /&amp;gt;A VÝBORU REGION&amp;#366; &amp;lt;LineBreak /&amp;gt;Nový evropský Bauhaus Estetika, udr&amp;#382;itelnost, pospolitost&amp;lt;/Paragraph&amp;gt;&amp;lt;/FlowDocument&amp;gt;&lt;/xaml&gt;_x000d__x000a_  &lt;/metadata&gt;_x000d__x000a_  &lt;metadata key=&quot;md_SubjectFootnote&quot; /&gt;_x000d__x000a_  &lt;metadata key=&quot;md_DG&quot;&gt;_x000d__x000a_    &lt;text&gt;TREE.1.B&lt;/text&gt;_x000d__x000a_  &lt;/metadata&gt;_x000d__x000a_  &lt;metadata key=&quot;md_Initials&quot;&gt;_x000d__x000a_    &lt;text&gt;vmu&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1&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CS&lt;/text&gt;_x000d__x000a_  &lt;/metadata&gt;_x000d__x000a_  &lt;metadata key=&quot;md_SourceDocType&quot;&gt;_x000d__x000a_    &lt;text&gt;SD&amp;#282;LENÍ KOMISE EVROPSKÉMU PARLAMENTU, RAD&amp;#282;, EVROPSKÉMU HOSPODÁ&amp;#344;SKÉMU A SOCIÁLNÍMU VÝBORU A VÝBORU REGION&amp;#366;&lt;/text&gt;_x000d__x000a_  &lt;/metadata&gt;_x000d__x000a_  &lt;metadata key=&quot;md_SourceDocTitle&quot;&gt;_x000d__x000a_    &lt;text&gt;Nový evropský Bauhaus_x000d__x000a__x000d__x000a__x000d__x000a__x000d__x000a__x000d__x000a__x000d__x000a__x000d__x000a__x000d__x000a__x000d__x000a__x000d__x000a__x000d__x000a__x000d__x000a__x000d__x000a__x000d__x000a_{b}Estetika, udr&amp;#382;itelnost, pospolitost{/b}_x000d__x000a__x000d__x000a__x000d__x000a__x000d__x000a__x000d__x000a__x000d__x000a__x000d__x000a__x000d__x000a_&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LW_CORRIGENDUM" w:val="&lt;UNUSED&gt;"/>
    <w:docVar w:name="LW_COVERPAGE_EXISTS" w:val="True"/>
    <w:docVar w:name="LW_COVERPAGE_GUID" w:val="10B28EFB-1E84-47B9-AD31-1138AF6A06D9"/>
    <w:docVar w:name="LW_COVERPAGE_TYPE" w:val="1"/>
    <w:docVar w:name="LW_CROSSREFERENCE" w:val="&lt;UNUSED&gt;"/>
    <w:docVar w:name="LW_DocType" w:val="NORMAL"/>
    <w:docVar w:name="LW_EMISSION" w:val="15.9.2021"/>
    <w:docVar w:name="LW_EMISSION_ISODATE" w:val="2021-09-15"/>
    <w:docVar w:name="LW_EMISSION_LOCATION" w:val="BRX"/>
    <w:docVar w:name="LW_EMISSION_PREFIX" w:val="V Bruselu dne "/>
    <w:docVar w:name="LW_EMISSION_SUFFIX" w:val=" "/>
    <w:docVar w:name="LW_ID_DOCTYPE_NONLW" w:val="CP-014"/>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21) 5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Nový evropský Bauhaus_x000d__x000d__x000d__x000d__x000d__x000d__x000b__x000d__x000d__x000d__x000d__x000d__x000d__x000b_&lt;FMT:Bold&gt;Estetika, udr\u382?itelnost, pospolitost&lt;/FMT&gt;_x000b__x000d__x000d__x000d__x000d__x000d__x000d__x000b_"/>
    <w:docVar w:name="LW_TYPE.DOC.CP" w:val="SD\u282?LENÍ KOMISE EVROPSKÉMU PARLAMENTU, RAD\u282?, EVROPSKÉMU HOSPODÁ\u344?SKÉMU A SOCIÁLNÍMU VÝBORU A VÝBORU REGION\u366?"/>
    <w:docVar w:name="LW_TYPE.DOC.CP.USERTEXT" w:val="&lt;EMPTY&gt;"/>
    <w:docVar w:name="LwApiVersions" w:val="LW4CoDe 1.23.0.0; LW 8.0, Build 20210114"/>
  </w:docVars>
  <w:rsids>
    <w:rsidRoot w:val="002F1537"/>
    <w:rsid w:val="002F1537"/>
    <w:rsid w:val="003F2AC7"/>
    <w:rsid w:val="00C232D2"/>
    <w:rsid w:val="00D04A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72CD1869-C3AA-4D27-B908-FA7013D4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numPr>
        <w:numId w:val="1"/>
      </w:numPr>
      <w:tabs>
        <w:tab w:val="left" w:pos="2586"/>
      </w:tabs>
      <w:spacing w:before="240" w:after="0" w:line="240" w:lineRule="auto"/>
      <w:outlineLvl w:val="0"/>
    </w:pPr>
    <w:rPr>
      <w:rFonts w:ascii="EC Square Sans Pro Thin" w:eastAsiaTheme="majorEastAsia" w:hAnsi="EC Square Sans Pro Thin" w:cs="Times New Roman"/>
      <w:b/>
      <w:color w:val="5B9BD5" w:themeColor="accent1"/>
      <w:sz w:val="32"/>
      <w:szCs w:val="32"/>
    </w:rPr>
  </w:style>
  <w:style w:type="paragraph" w:styleId="Heading2">
    <w:name w:val="heading 2"/>
    <w:basedOn w:val="Normal"/>
    <w:next w:val="Normal"/>
    <w:link w:val="Heading2Char"/>
    <w:autoRedefine/>
    <w:uiPriority w:val="9"/>
    <w:unhideWhenUsed/>
    <w:qFormat/>
    <w:pPr>
      <w:keepNext/>
      <w:keepLines/>
      <w:numPr>
        <w:ilvl w:val="1"/>
        <w:numId w:val="1"/>
      </w:numPr>
      <w:tabs>
        <w:tab w:val="left" w:pos="426"/>
        <w:tab w:val="left" w:pos="482"/>
        <w:tab w:val="left" w:pos="567"/>
      </w:tabs>
      <w:spacing w:before="40" w:after="0" w:line="276" w:lineRule="auto"/>
      <w:ind w:hanging="2586"/>
      <w:outlineLvl w:val="1"/>
    </w:pPr>
    <w:rPr>
      <w:rFonts w:ascii="EC Square Sans Pro Light" w:eastAsiaTheme="majorEastAsia" w:hAnsi="EC Square Sans Pro Light" w:cs="Times New Roman"/>
      <w:color w:val="5B9BD5" w:themeColor="accent1"/>
      <w:sz w:val="28"/>
      <w:szCs w:val="26"/>
    </w:rPr>
  </w:style>
  <w:style w:type="paragraph" w:styleId="Heading3">
    <w:name w:val="heading 3"/>
    <w:basedOn w:val="Normal"/>
    <w:next w:val="Normal"/>
    <w:link w:val="Heading3Char"/>
    <w:autoRedefine/>
    <w:uiPriority w:val="9"/>
    <w:unhideWhenUsed/>
    <w:qFormat/>
    <w:pPr>
      <w:keepNext/>
      <w:keepLines/>
      <w:numPr>
        <w:ilvl w:val="2"/>
        <w:numId w:val="1"/>
      </w:numPr>
      <w:tabs>
        <w:tab w:val="left" w:pos="482"/>
      </w:tabs>
      <w:spacing w:before="40" w:after="0" w:line="240" w:lineRule="auto"/>
      <w:ind w:left="839"/>
      <w:outlineLvl w:val="2"/>
    </w:pPr>
    <w:rPr>
      <w:rFonts w:ascii="EC Square Sans Pro Light" w:eastAsiaTheme="majorEastAsia" w:hAnsi="EC Square Sans Pro Light" w:cstheme="majorBidi"/>
      <w:i/>
      <w:color w:val="5B9BD5" w:themeColor="accent1"/>
      <w:sz w:val="24"/>
      <w:szCs w:val="24"/>
    </w:rPr>
  </w:style>
  <w:style w:type="paragraph" w:styleId="Heading4">
    <w:name w:val="heading 4"/>
    <w:basedOn w:val="Normal"/>
    <w:next w:val="Normal"/>
    <w:link w:val="Heading4Char"/>
    <w:uiPriority w:val="9"/>
    <w:unhideWhenUsed/>
    <w:qFormat/>
    <w:pPr>
      <w:keepNext/>
      <w:keepLines/>
      <w:numPr>
        <w:ilvl w:val="3"/>
        <w:numId w:val="1"/>
      </w:numPr>
      <w:tabs>
        <w:tab w:val="left" w:pos="482"/>
      </w:tabs>
      <w:spacing w:before="40" w:after="0" w:line="240" w:lineRule="auto"/>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unhideWhenUsed/>
    <w:qFormat/>
    <w:pPr>
      <w:keepNext/>
      <w:keepLines/>
      <w:numPr>
        <w:ilvl w:val="4"/>
        <w:numId w:val="1"/>
      </w:numPr>
      <w:tabs>
        <w:tab w:val="left" w:pos="482"/>
      </w:tabs>
      <w:spacing w:before="40" w:after="0" w:line="240" w:lineRule="auto"/>
      <w:outlineLvl w:val="4"/>
    </w:pPr>
    <w:rPr>
      <w:rFonts w:asciiTheme="majorHAnsi" w:eastAsiaTheme="majorEastAsia" w:hAnsiTheme="majorHAnsi" w:cstheme="majorBidi"/>
      <w:color w:val="2E74B5" w:themeColor="accent1" w:themeShade="BF"/>
      <w:sz w:val="24"/>
    </w:rPr>
  </w:style>
  <w:style w:type="paragraph" w:styleId="Heading6">
    <w:name w:val="heading 6"/>
    <w:basedOn w:val="Normal"/>
    <w:next w:val="Normal"/>
    <w:link w:val="Heading6Char"/>
    <w:uiPriority w:val="9"/>
    <w:semiHidden/>
    <w:unhideWhenUsed/>
    <w:qFormat/>
    <w:pPr>
      <w:keepNext/>
      <w:keepLines/>
      <w:numPr>
        <w:ilvl w:val="5"/>
        <w:numId w:val="1"/>
      </w:numPr>
      <w:tabs>
        <w:tab w:val="left" w:pos="482"/>
      </w:tabs>
      <w:spacing w:before="40" w:after="0" w:line="240" w:lineRule="auto"/>
      <w:outlineLvl w:val="5"/>
    </w:pPr>
    <w:rPr>
      <w:rFonts w:asciiTheme="majorHAnsi" w:eastAsiaTheme="majorEastAsia" w:hAnsiTheme="majorHAnsi" w:cstheme="majorBidi"/>
      <w:color w:val="1F4D78" w:themeColor="accent1" w:themeShade="7F"/>
      <w:sz w:val="24"/>
    </w:rPr>
  </w:style>
  <w:style w:type="paragraph" w:styleId="Heading7">
    <w:name w:val="heading 7"/>
    <w:basedOn w:val="Normal"/>
    <w:next w:val="Normal"/>
    <w:link w:val="Heading7Char"/>
    <w:uiPriority w:val="9"/>
    <w:semiHidden/>
    <w:unhideWhenUsed/>
    <w:qFormat/>
    <w:pPr>
      <w:keepNext/>
      <w:keepLines/>
      <w:numPr>
        <w:ilvl w:val="6"/>
        <w:numId w:val="1"/>
      </w:numPr>
      <w:tabs>
        <w:tab w:val="left" w:pos="482"/>
      </w:tabs>
      <w:spacing w:before="40" w:after="0" w:line="240" w:lineRule="auto"/>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semiHidden/>
    <w:unhideWhenUsed/>
    <w:qFormat/>
    <w:pPr>
      <w:keepNext/>
      <w:keepLines/>
      <w:numPr>
        <w:ilvl w:val="7"/>
        <w:numId w:val="1"/>
      </w:numPr>
      <w:tabs>
        <w:tab w:val="left" w:pos="482"/>
      </w:tab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
      </w:numPr>
      <w:tabs>
        <w:tab w:val="left" w:pos="482"/>
      </w:tab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EC Square Sans Pro Thin" w:eastAsiaTheme="majorEastAsia" w:hAnsi="EC Square Sans Pro Thin" w:cs="Times New Roman"/>
      <w:b/>
      <w:color w:val="5B9BD5" w:themeColor="accent1"/>
      <w:sz w:val="32"/>
      <w:szCs w:val="32"/>
    </w:rPr>
  </w:style>
  <w:style w:type="character" w:customStyle="1" w:styleId="Heading2Char">
    <w:name w:val="Heading 2 Char"/>
    <w:basedOn w:val="DefaultParagraphFont"/>
    <w:link w:val="Heading2"/>
    <w:uiPriority w:val="9"/>
    <w:rPr>
      <w:rFonts w:ascii="EC Square Sans Pro Light" w:eastAsiaTheme="majorEastAsia" w:hAnsi="EC Square Sans Pro Light" w:cs="Times New Roman"/>
      <w:color w:val="5B9BD5" w:themeColor="accent1"/>
      <w:sz w:val="28"/>
      <w:szCs w:val="26"/>
    </w:rPr>
  </w:style>
  <w:style w:type="character" w:customStyle="1" w:styleId="Heading3Char">
    <w:name w:val="Heading 3 Char"/>
    <w:basedOn w:val="DefaultParagraphFont"/>
    <w:link w:val="Heading3"/>
    <w:uiPriority w:val="9"/>
    <w:rPr>
      <w:rFonts w:ascii="EC Square Sans Pro Light" w:eastAsiaTheme="majorEastAsia" w:hAnsi="EC Square Sans Pro Light" w:cstheme="majorBidi"/>
      <w:i/>
      <w:color w:val="5B9BD5" w:themeColor="accent1"/>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Marker">
    <w:name w:val="Marker"/>
    <w:basedOn w:val="DefaultParagraphFont"/>
    <w:rsid w:val="00D04A0B"/>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jc w:val="both"/>
    </w:pPr>
    <w:rPr>
      <w:rFonts w:ascii="Times New Roman" w:hAnsi="Times New Roman"/>
      <w:sz w:val="24"/>
    </w:rPr>
  </w:style>
  <w:style w:type="character" w:customStyle="1" w:styleId="HeaderChar">
    <w:name w:val="Header Char"/>
    <w:basedOn w:val="DefaultParagraphFont"/>
    <w:link w:val="Header"/>
    <w:uiPriority w:val="99"/>
    <w:rPr>
      <w:rFonts w:ascii="Times New Roman" w:hAnsi="Times New Roman"/>
      <w:sz w:val="24"/>
    </w:rPr>
  </w:style>
  <w:style w:type="paragraph" w:styleId="Footer">
    <w:name w:val="footer"/>
    <w:basedOn w:val="Normal"/>
    <w:link w:val="FooterChar"/>
    <w:uiPriority w:val="99"/>
    <w:unhideWhenUsed/>
    <w:pPr>
      <w:tabs>
        <w:tab w:val="center" w:pos="4513"/>
        <w:tab w:val="right" w:pos="9026"/>
      </w:tabs>
      <w:spacing w:after="0" w:line="240" w:lineRule="auto"/>
      <w:jc w:val="both"/>
    </w:pPr>
    <w:rPr>
      <w:rFonts w:ascii="Times New Roman" w:hAnsi="Times New Roman"/>
      <w:sz w:val="24"/>
    </w:rPr>
  </w:style>
  <w:style w:type="character" w:customStyle="1" w:styleId="FooterChar">
    <w:name w:val="Footer Char"/>
    <w:basedOn w:val="DefaultParagraphFont"/>
    <w:link w:val="Footer"/>
    <w:uiPriority w:val="99"/>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styleId="ListParagraph">
    <w:name w:val="List Paragraph"/>
    <w:aliases w:val="Fiche List Paragraph,Task Body,Viñetas (Inicio Parrafo),3 Txt tabla,Zerrenda-paragrafoa,Lista multicolor - Énfasis 11,Paragrafo elenco,Dot pt,No Spacing1,List Paragraph Char Char Char,Indicator Text,Bullet 1,Numbered Para 1,Bullet Points"/>
    <w:basedOn w:val="Normal"/>
    <w:link w:val="ListParagraphChar"/>
    <w:uiPriority w:val="34"/>
    <w:qFormat/>
    <w:pPr>
      <w:spacing w:after="240" w:line="240" w:lineRule="auto"/>
      <w:ind w:left="720"/>
      <w:contextualSpacing/>
      <w:jc w:val="both"/>
    </w:pPr>
    <w:rPr>
      <w:rFonts w:ascii="Times New Roman" w:hAnsi="Times New Roman"/>
      <w:sz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4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hAnsi="Times New Roman"/>
      <w:b/>
      <w:bCs/>
      <w:sz w:val="20"/>
      <w:szCs w:val="20"/>
    </w:rPr>
  </w:style>
  <w:style w:type="paragraph" w:styleId="BalloonText">
    <w:name w:val="Balloon Text"/>
    <w:basedOn w:val="Normal"/>
    <w:link w:val="BalloonTextChar"/>
    <w:uiPriority w:val="99"/>
    <w:semiHidden/>
    <w:unhideWhenUsed/>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FootnoteReference">
    <w:name w:val="footnote reference"/>
    <w:aliases w:val="Footnote Reference Superscript,Footnote Reference/,Footnote symbol,Odwołanie przypisu,Times 10 Point,Exposant 3 Point,footnote ref, Exposant 3 Point,EN Footnote Reference,number,SUPERS,ftref,Footnote reference number,Ref,B2,BVI fnr,fr"/>
    <w:basedOn w:val="DefaultParagraphFont"/>
    <w:link w:val="BVIfnrCarCarCarCarCharCharCharCharCar"/>
    <w:uiPriority w:val="99"/>
    <w:qFormat/>
    <w:rPr>
      <w:vertAlign w:val="superscrip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autoRedefine/>
    <w:uiPriority w:val="99"/>
    <w:unhideWhenUsed/>
    <w:qFormat/>
    <w:pPr>
      <w:spacing w:after="0" w:line="240" w:lineRule="auto"/>
      <w:ind w:left="284" w:hanging="284"/>
      <w:jc w:val="both"/>
    </w:pPr>
    <w:rPr>
      <w:rFonts w:ascii="EC Square Sans Pro Thin" w:hAnsi="EC Square Sans Pro Thi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EC Square Sans Pro Thin" w:hAnsi="EC Square Sans Pro Thin" w:cs="Times New Roman"/>
      <w:sz w:val="20"/>
      <w:szCs w:val="20"/>
    </w:rPr>
  </w:style>
  <w:style w:type="character" w:styleId="Hyperlink">
    <w:name w:val="Hyperlink"/>
    <w:basedOn w:val="DefaultParagraphFont"/>
    <w:uiPriority w:val="99"/>
    <w:unhideWhenUsed/>
    <w:rPr>
      <w:color w:val="0563C1" w:themeColor="hyperlink"/>
      <w:u w:val="single"/>
    </w:rPr>
  </w:style>
  <w:style w:type="paragraph" w:customStyle="1" w:styleId="BVIfnrCarCarCarCarCharCharCharCharCar">
    <w:name w:val="BVI fnr Car Car Car Car Char Char Char Char Car"/>
    <w:aliases w:val="BVI fnr Car Car Car Car Char Char Car,BVI fnr Car Car Car Car Char Char Char Char Char Char Char Char Char Car"/>
    <w:basedOn w:val="Normal"/>
    <w:link w:val="FootnoteReference"/>
    <w:uiPriority w:val="99"/>
    <w:qFormat/>
    <w:pPr>
      <w:spacing w:line="240" w:lineRule="exact"/>
      <w:jc w:val="both"/>
    </w:pPr>
    <w:rPr>
      <w:vertAlign w:val="superscript"/>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spacing w:line="240" w:lineRule="exact"/>
    </w:pPr>
    <w:rPr>
      <w:vertAlign w:val="superscript"/>
    </w:rPr>
  </w:style>
  <w:style w:type="paragraph" w:styleId="NormalWeb">
    <w:name w:val="Normal (Web)"/>
    <w:basedOn w:val="Normal"/>
    <w:unhideWhenUsed/>
    <w:pPr>
      <w:spacing w:after="240" w:line="240" w:lineRule="auto"/>
      <w:jc w:val="both"/>
    </w:pPr>
    <w:rPr>
      <w:rFonts w:ascii="Times New Roman" w:hAnsi="Times New Roman" w:cs="Times New Roman"/>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aliases w:val="Fiche List Paragraph Char,Task Body Char,Viñetas (Inicio Parrafo) Char,3 Txt tabla Char,Zerrenda-paragrafoa Char,Lista multicolor - Énfasis 11 Char,Paragrafo elenco Char,Dot pt Char,No Spacing1 Char,List Paragraph Char Char Char Char"/>
    <w:basedOn w:val="DefaultParagraphFont"/>
    <w:link w:val="ListParagraph"/>
    <w:uiPriority w:val="34"/>
    <w:qFormat/>
    <w:rPr>
      <w:rFonts w:ascii="Times New Roman" w:hAnsi="Times New Roman"/>
      <w:sz w:val="24"/>
    </w:rPr>
  </w:style>
  <w:style w:type="paragraph" w:styleId="Revision">
    <w:name w:val="Revision"/>
    <w:hidden/>
    <w:uiPriority w:val="99"/>
    <w:semiHidden/>
    <w:pPr>
      <w:spacing w:after="0" w:line="240" w:lineRule="auto"/>
    </w:pPr>
    <w:rPr>
      <w:rFonts w:ascii="Times New Roman" w:hAnsi="Times New Roman"/>
      <w:sz w:val="24"/>
    </w:rPr>
  </w:style>
  <w:style w:type="paragraph" w:customStyle="1" w:styleId="Briefinglist1">
    <w:name w:val="Briefing list 1"/>
    <w:basedOn w:val="Normal"/>
    <w:link w:val="Briefinglist1Char"/>
    <w:pPr>
      <w:keepLines/>
      <w:numPr>
        <w:numId w:val="2"/>
      </w:numPr>
      <w:spacing w:after="120" w:line="240" w:lineRule="auto"/>
      <w:jc w:val="both"/>
    </w:pPr>
    <w:rPr>
      <w:rFonts w:ascii="Arial" w:eastAsia="Times New Roman" w:hAnsi="Arial" w:cs="Times New Roman"/>
      <w:szCs w:val="24"/>
      <w:lang w:eastAsia="en-GB"/>
    </w:rPr>
  </w:style>
  <w:style w:type="character" w:customStyle="1" w:styleId="Briefinglist1Char">
    <w:name w:val="Briefing list 1 Char"/>
    <w:basedOn w:val="DefaultParagraphFont"/>
    <w:link w:val="Briefinglist1"/>
    <w:rPr>
      <w:rFonts w:ascii="Arial" w:eastAsia="Times New Roman" w:hAnsi="Arial" w:cs="Times New Roman"/>
      <w:szCs w:val="24"/>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rFonts w:ascii="Calibri" w:eastAsia="Calibri" w:hAnsi="Calibri" w:cs="Times New Roman"/>
    </w:rPr>
  </w:style>
  <w:style w:type="character" w:customStyle="1" w:styleId="hps">
    <w:name w:val="hps"/>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line="276" w:lineRule="auto"/>
      <w:ind w:left="5103"/>
    </w:pPr>
    <w:rPr>
      <w:rFonts w:ascii="Times New Roman" w:hAnsi="Times New Roman" w:cs="Times New Roman"/>
      <w:sz w:val="28"/>
    </w:rPr>
  </w:style>
  <w:style w:type="paragraph" w:customStyle="1" w:styleId="DateMarking">
    <w:name w:val="DateMarking"/>
    <w:basedOn w:val="Normal"/>
    <w:pPr>
      <w:spacing w:after="0" w:line="276" w:lineRule="auto"/>
      <w:ind w:left="5103"/>
    </w:pPr>
    <w:rPr>
      <w:rFonts w:ascii="Times New Roman" w:hAnsi="Times New Roman" w:cs="Times New Roman"/>
      <w:i/>
      <w:sz w:val="28"/>
    </w:rPr>
  </w:style>
  <w:style w:type="paragraph" w:customStyle="1" w:styleId="ReleasableTo">
    <w:name w:val="ReleasableTo"/>
    <w:basedOn w:val="Normal"/>
    <w:pPr>
      <w:spacing w:after="0" w:line="276" w:lineRule="auto"/>
      <w:ind w:left="5103"/>
    </w:pPr>
    <w:rPr>
      <w:rFonts w:ascii="Times New Roman" w:hAnsi="Times New Roman" w:cs="Times New Roman"/>
      <w:i/>
      <w:sz w:val="28"/>
    </w:rPr>
  </w:style>
  <w:style w:type="paragraph" w:customStyle="1" w:styleId="paragraph">
    <w:name w:val="paragraph"/>
    <w:basedOn w:val="Normal"/>
    <w:pPr>
      <w:spacing w:before="100" w:beforeAutospacing="1" w:after="100" w:afterAutospacing="1" w:line="240" w:lineRule="auto"/>
    </w:pPr>
    <w:rPr>
      <w:rFonts w:ascii="Times New Roman" w:eastAsia="MS Mincho" w:hAnsi="Times New Roman" w:cs="Times New Roman"/>
      <w:sz w:val="20"/>
      <w:szCs w:val="20"/>
      <w:lang w:eastAsia="en-GB"/>
    </w:rPr>
  </w:style>
  <w:style w:type="paragraph" w:customStyle="1" w:styleId="AppelnotedebasdepageCharCharCharCharCharCharChar">
    <w:name w:val="Appel note de bas de page Char Char Char Char Char Char Char"/>
    <w:basedOn w:val="Normal"/>
    <w:pPr>
      <w:spacing w:after="0" w:line="240" w:lineRule="auto"/>
      <w:jc w:val="both"/>
    </w:pPr>
    <w:rPr>
      <w:vertAlign w:val="superscript"/>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TOCHeading">
    <w:name w:val="TOC Heading"/>
    <w:basedOn w:val="Heading1"/>
    <w:next w:val="Normal"/>
    <w:uiPriority w:val="39"/>
    <w:unhideWhenUsed/>
    <w:qFormat/>
    <w:pPr>
      <w:numPr>
        <w:numId w:val="0"/>
      </w:numPr>
      <w:tabs>
        <w:tab w:val="clear" w:pos="482"/>
      </w:tabs>
      <w:spacing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pPr>
      <w:tabs>
        <w:tab w:val="left" w:pos="440"/>
        <w:tab w:val="right" w:leader="dot" w:pos="9016"/>
      </w:tabs>
      <w:spacing w:after="100"/>
    </w:pPr>
    <w:rPr>
      <w:rFonts w:ascii="EC Square Sans Pro Light" w:hAnsi="EC Square Sans Pro Light"/>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customStyle="1" w:styleId="TechnicalBlock">
    <w:name w:val="Technical Block"/>
    <w:basedOn w:val="ListParagraph"/>
    <w:link w:val="TechnicalBlockChar"/>
    <w:rsid w:val="00D04A0B"/>
    <w:pPr>
      <w:numPr>
        <w:numId w:val="45"/>
      </w:numPr>
      <w:autoSpaceDE w:val="0"/>
      <w:autoSpaceDN w:val="0"/>
      <w:adjustRightInd w:val="0"/>
      <w:jc w:val="center"/>
    </w:pPr>
    <w:rPr>
      <w:rFonts w:ascii="EC Square Sans Pro Light" w:hAnsi="EC Square Sans Pro Light"/>
      <w:noProof/>
      <w:sz w:val="20"/>
      <w:szCs w:val="20"/>
    </w:rPr>
  </w:style>
  <w:style w:type="character" w:customStyle="1" w:styleId="TechnicalBlockChar">
    <w:name w:val="Technical Block Char"/>
    <w:basedOn w:val="ListParagraphChar"/>
    <w:link w:val="TechnicalBlock"/>
    <w:rsid w:val="00D04A0B"/>
    <w:rPr>
      <w:rFonts w:ascii="EC Square Sans Pro Light" w:hAnsi="EC Square Sans Pro Light"/>
      <w:noProof/>
      <w:sz w:val="20"/>
      <w:szCs w:val="20"/>
    </w:rPr>
  </w:style>
  <w:style w:type="paragraph" w:customStyle="1" w:styleId="EntText">
    <w:name w:val="EntText"/>
    <w:basedOn w:val="Normal"/>
    <w:rsid w:val="00D04A0B"/>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D04A0B"/>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D04A0B"/>
    <w:pPr>
      <w:spacing w:before="1200" w:after="120" w:line="240" w:lineRule="auto"/>
      <w:ind w:left="1440" w:hanging="1440"/>
    </w:pPr>
    <w:rPr>
      <w:rFonts w:ascii="Times New Roman" w:hAnsi="Times New Roman" w:cs="Times New Roman"/>
      <w:sz w:val="24"/>
    </w:rPr>
  </w:style>
  <w:style w:type="character" w:customStyle="1" w:styleId="pjChar">
    <w:name w:val="p.j. Char"/>
    <w:basedOn w:val="ListParagraphChar"/>
    <w:link w:val="pj"/>
    <w:rsid w:val="00D04A0B"/>
    <w:rPr>
      <w:rFonts w:ascii="Times New Roman" w:hAnsi="Times New Roman" w:cs="Times New Roman"/>
      <w:sz w:val="24"/>
    </w:rPr>
  </w:style>
  <w:style w:type="paragraph" w:customStyle="1" w:styleId="nbbordered">
    <w:name w:val="nb bordered"/>
    <w:basedOn w:val="Normal"/>
    <w:link w:val="nbborderedChar"/>
    <w:rsid w:val="00D04A0B"/>
    <w:pPr>
      <w:pBdr>
        <w:top w:val="single" w:sz="4" w:space="1" w:color="auto"/>
        <w:left w:val="single" w:sz="4" w:space="4" w:color="auto"/>
        <w:bottom w:val="single" w:sz="4" w:space="1" w:color="auto"/>
        <w:right w:val="single" w:sz="4" w:space="4" w:color="auto"/>
        <w:between w:val="single" w:sz="4" w:space="0" w:color="auto"/>
      </w:pBdr>
      <w:spacing w:line="240" w:lineRule="auto"/>
      <w:ind w:left="480" w:hanging="480"/>
    </w:pPr>
    <w:rPr>
      <w:rFonts w:ascii="Times New Roman" w:hAnsi="Times New Roman" w:cs="Times New Roman"/>
      <w:b/>
      <w:sz w:val="24"/>
    </w:rPr>
  </w:style>
  <w:style w:type="character" w:customStyle="1" w:styleId="nbborderedChar">
    <w:name w:val="nb bordered Char"/>
    <w:basedOn w:val="ListParagraphChar"/>
    <w:link w:val="nbbordered"/>
    <w:rsid w:val="00D04A0B"/>
    <w:rPr>
      <w:rFonts w:ascii="Times New Roman" w:hAnsi="Times New Roman" w:cs="Times New Roman"/>
      <w:b/>
      <w:sz w:val="24"/>
    </w:rPr>
  </w:style>
  <w:style w:type="paragraph" w:customStyle="1" w:styleId="HeaderCouncil">
    <w:name w:val="Header Council"/>
    <w:basedOn w:val="Normal"/>
    <w:link w:val="HeaderCouncilChar"/>
    <w:rsid w:val="00D04A0B"/>
    <w:pPr>
      <w:spacing w:after="0"/>
    </w:pPr>
    <w:rPr>
      <w:noProof/>
      <w:sz w:val="2"/>
    </w:rPr>
  </w:style>
  <w:style w:type="character" w:customStyle="1" w:styleId="HeaderCouncilChar">
    <w:name w:val="Header Council Char"/>
    <w:basedOn w:val="DefaultParagraphFont"/>
    <w:link w:val="HeaderCouncil"/>
    <w:rsid w:val="00D04A0B"/>
    <w:rPr>
      <w:noProof/>
      <w:sz w:val="2"/>
    </w:rPr>
  </w:style>
  <w:style w:type="paragraph" w:customStyle="1" w:styleId="HeaderCouncilLarge">
    <w:name w:val="Header Council Large"/>
    <w:basedOn w:val="Normal"/>
    <w:link w:val="HeaderCouncilLargeChar"/>
    <w:rsid w:val="00D04A0B"/>
    <w:pPr>
      <w:spacing w:after="440"/>
    </w:pPr>
    <w:rPr>
      <w:noProof/>
      <w:sz w:val="2"/>
    </w:rPr>
  </w:style>
  <w:style w:type="character" w:customStyle="1" w:styleId="HeaderCouncilLargeChar">
    <w:name w:val="Header Council Large Char"/>
    <w:basedOn w:val="DefaultParagraphFont"/>
    <w:link w:val="HeaderCouncilLarge"/>
    <w:rsid w:val="00D04A0B"/>
    <w:rPr>
      <w:noProof/>
      <w:sz w:val="2"/>
    </w:rPr>
  </w:style>
  <w:style w:type="paragraph" w:customStyle="1" w:styleId="FooterCouncil">
    <w:name w:val="Footer Council"/>
    <w:basedOn w:val="Normal"/>
    <w:link w:val="FooterCouncilChar"/>
    <w:rsid w:val="00D04A0B"/>
    <w:pPr>
      <w:spacing w:after="0"/>
    </w:pPr>
    <w:rPr>
      <w:noProof/>
      <w:sz w:val="2"/>
    </w:rPr>
  </w:style>
  <w:style w:type="character" w:customStyle="1" w:styleId="FooterCouncilChar">
    <w:name w:val="Footer Council Char"/>
    <w:basedOn w:val="DefaultParagraphFont"/>
    <w:link w:val="FooterCouncil"/>
    <w:rsid w:val="00D04A0B"/>
    <w:rPr>
      <w:noProof/>
      <w:sz w:val="2"/>
    </w:rPr>
  </w:style>
  <w:style w:type="paragraph" w:customStyle="1" w:styleId="FooterText">
    <w:name w:val="Footer Text"/>
    <w:basedOn w:val="Normal"/>
    <w:rsid w:val="00D04A0B"/>
    <w:pPr>
      <w:spacing w:after="0" w:line="240" w:lineRule="auto"/>
    </w:pPr>
    <w:rPr>
      <w:rFonts w:ascii="Times New Roman" w:eastAsia="Times New Roman" w:hAnsi="Times New Roman" w:cs="Times New Roman"/>
      <w:sz w:val="24"/>
      <w:szCs w:val="24"/>
      <w:lang w:val="en-GB"/>
    </w:rPr>
  </w:style>
  <w:style w:type="character" w:styleId="PlaceholderText">
    <w:name w:val="Placeholder Text"/>
    <w:basedOn w:val="DefaultParagraphFont"/>
    <w:uiPriority w:val="99"/>
    <w:semiHidden/>
    <w:rsid w:val="00D04A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59824">
      <w:bodyDiv w:val="1"/>
      <w:marLeft w:val="0"/>
      <w:marRight w:val="0"/>
      <w:marTop w:val="0"/>
      <w:marBottom w:val="0"/>
      <w:divBdr>
        <w:top w:val="none" w:sz="0" w:space="0" w:color="auto"/>
        <w:left w:val="none" w:sz="0" w:space="0" w:color="auto"/>
        <w:bottom w:val="none" w:sz="0" w:space="0" w:color="auto"/>
        <w:right w:val="none" w:sz="0" w:space="0" w:color="auto"/>
      </w:divBdr>
    </w:div>
    <w:div w:id="1199128429">
      <w:bodyDiv w:val="1"/>
      <w:marLeft w:val="0"/>
      <w:marRight w:val="0"/>
      <w:marTop w:val="0"/>
      <w:marBottom w:val="0"/>
      <w:divBdr>
        <w:top w:val="none" w:sz="0" w:space="0" w:color="auto"/>
        <w:left w:val="none" w:sz="0" w:space="0" w:color="auto"/>
        <w:bottom w:val="none" w:sz="0" w:space="0" w:color="auto"/>
        <w:right w:val="none" w:sz="0" w:space="0" w:color="auto"/>
      </w:divBdr>
    </w:div>
    <w:div w:id="1742406054">
      <w:bodyDiv w:val="1"/>
      <w:marLeft w:val="0"/>
      <w:marRight w:val="0"/>
      <w:marTop w:val="0"/>
      <w:marBottom w:val="0"/>
      <w:divBdr>
        <w:top w:val="none" w:sz="0" w:space="0" w:color="auto"/>
        <w:left w:val="none" w:sz="0" w:space="0" w:color="auto"/>
        <w:bottom w:val="none" w:sz="0" w:space="0" w:color="auto"/>
        <w:right w:val="none" w:sz="0" w:space="0" w:color="auto"/>
      </w:divBdr>
    </w:div>
    <w:div w:id="211585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4.jpeg"/><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s://education-for-climate.ec.europa.eu/_en"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hyperlink" Target="https://education-for-climate.ec.europa.eu/_en" TargetMode="External"/><Relationship Id="rId38"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6.xml"/><Relationship Id="rId32" Type="http://schemas.openxmlformats.org/officeDocument/2006/relationships/image" Target="media/image10.jpeg"/><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image" Target="media/image6.jpeg"/><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en/publication-detail/-/publication/d3129b80-6f7c-11e8-9483-01aa75ed71a1/language-en/format-PDF" TargetMode="External"/><Relationship Id="rId13" Type="http://schemas.openxmlformats.org/officeDocument/2006/relationships/hyperlink" Target="https://ec.europa.eu/regional_policy/sources/docgener/brochure/explanatory_memo_eui_post_2020_en.pdf" TargetMode="External"/><Relationship Id="rId18" Type="http://schemas.openxmlformats.org/officeDocument/2006/relationships/hyperlink" Target="https://eic.ec.europa.eu/index_en" TargetMode="External"/><Relationship Id="rId26" Type="http://schemas.openxmlformats.org/officeDocument/2006/relationships/hyperlink" Target="https://www.worthproject.eu/" TargetMode="External"/><Relationship Id="rId3" Type="http://schemas.openxmlformats.org/officeDocument/2006/relationships/hyperlink" Target="https://europa.eu/new-european-bauhaus/co-design/co-designing-new-european-bauhaus_en" TargetMode="External"/><Relationship Id="rId21" Type="http://schemas.openxmlformats.org/officeDocument/2006/relationships/hyperlink" Target="https://ec.europa.eu/info/funding-tenders/find-funding/eu-funding-programmes/single-market-programme_cs" TargetMode="External"/><Relationship Id="rId7" Type="http://schemas.openxmlformats.org/officeDocument/2006/relationships/hyperlink" Target="https://www.15minutecity.com/" TargetMode="External"/><Relationship Id="rId12" Type="http://schemas.openxmlformats.org/officeDocument/2006/relationships/hyperlink" Target="https://ec.europa.eu/regional_policy/sources/docgener/brochure/explanatory_memo_eui_post_2020_en.pdf" TargetMode="External"/><Relationship Id="rId17" Type="http://schemas.openxmlformats.org/officeDocument/2006/relationships/hyperlink" Target="https://eit.europa.eu/" TargetMode="External"/><Relationship Id="rId25" Type="http://schemas.openxmlformats.org/officeDocument/2006/relationships/hyperlink" Target="https://ec.europa.eu/growth/smes/cosme_en" TargetMode="External"/><Relationship Id="rId2" Type="http://schemas.openxmlformats.org/officeDocument/2006/relationships/hyperlink" Target="https://ec.europa.eu/commission/presscorner/detail/cs/ip_21_111" TargetMode="External"/><Relationship Id="rId16" Type="http://schemas.openxmlformats.org/officeDocument/2006/relationships/hyperlink" Target="https://www.eiturbanmobility.eu/launch-of-cross-kic-new-european-bauhaus-call-for-proposals-for-citizen-engagement" TargetMode="External"/><Relationship Id="rId20" Type="http://schemas.openxmlformats.org/officeDocument/2006/relationships/hyperlink" Target="https://ec.europa.eu/info/funding-tenders/find-funding/eu-funding-programmes/single-market-programme_cs" TargetMode="External"/><Relationship Id="rId29" Type="http://schemas.openxmlformats.org/officeDocument/2006/relationships/hyperlink" Target="https://europa.eu/youth/discovereu_cs" TargetMode="External"/><Relationship Id="rId1" Type="http://schemas.openxmlformats.org/officeDocument/2006/relationships/hyperlink" Target="https://ec.europa.eu/commission/presscorner/detail/cs/ip_21_111" TargetMode="External"/><Relationship Id="rId6" Type="http://schemas.openxmlformats.org/officeDocument/2006/relationships/hyperlink" Target="https://europa.eu/new-european-bauhaus/2021-prizes_cs" TargetMode="External"/><Relationship Id="rId11" Type="http://schemas.openxmlformats.org/officeDocument/2006/relationships/hyperlink" Target="http://revistas.unisinos.br/index.php/sdrj/article/view/sdrj.2021.141.02" TargetMode="External"/><Relationship Id="rId24" Type="http://schemas.openxmlformats.org/officeDocument/2006/relationships/hyperlink" Target="https://ec.europa.eu/growth/smes/cosme_en" TargetMode="External"/><Relationship Id="rId5" Type="http://schemas.openxmlformats.org/officeDocument/2006/relationships/hyperlink" Target="https://europa.eu/new-european-bauhaus/about/high-level-roundtable_fr" TargetMode="External"/><Relationship Id="rId15" Type="http://schemas.openxmlformats.org/officeDocument/2006/relationships/hyperlink" Target="https://ec.europa.eu/info/research-and-innovation/funding/funding-opportunities/funding-programmes-and-open-calls/horizon-europe/missions-horizon-europe_en" TargetMode="External"/><Relationship Id="rId23" Type="http://schemas.openxmlformats.org/officeDocument/2006/relationships/hyperlink" Target="https://ec.europa.eu/growth/smes/cosme_en" TargetMode="External"/><Relationship Id="rId28" Type="http://schemas.openxmlformats.org/officeDocument/2006/relationships/hyperlink" Target="https://europa.eu/youth/discovereu_cs" TargetMode="External"/><Relationship Id="rId10" Type="http://schemas.openxmlformats.org/officeDocument/2006/relationships/hyperlink" Target="https://www.routledge.com/Design-for-Sustainability-A-Multi-level-Framework-from-Products-to-Socio-technical/Gaziulusoy/p/book/9781032089959" TargetMode="External"/><Relationship Id="rId19" Type="http://schemas.openxmlformats.org/officeDocument/2006/relationships/hyperlink" Target="https://cinea.ec.europa.eu/life_fr" TargetMode="External"/><Relationship Id="rId4" Type="http://schemas.openxmlformats.org/officeDocument/2006/relationships/hyperlink" Target="https://europa.eu/new-european-bauhaus/partners-0/partners_en" TargetMode="External"/><Relationship Id="rId9" Type="http://schemas.openxmlformats.org/officeDocument/2006/relationships/hyperlink" Target="https://digital-strategy.ec.europa.eu/en/policies/digital-compass" TargetMode="External"/><Relationship Id="rId14" Type="http://schemas.openxmlformats.org/officeDocument/2006/relationships/hyperlink" Target="https://ec.europa.eu/info/research-and-innovation/funding/funding-opportunities/funding-programmes-and-open-calls/horizon-europe/missions-horizon-europe_en" TargetMode="External"/><Relationship Id="rId22" Type="http://schemas.openxmlformats.org/officeDocument/2006/relationships/hyperlink" Target="https://ec.europa.eu/growth/smes/cosme_en" TargetMode="External"/><Relationship Id="rId27" Type="http://schemas.openxmlformats.org/officeDocument/2006/relationships/hyperlink" Target="https://www.etwinning.net/cs/pub/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2349DD7EE3E848A8560988FC6628C1" ma:contentTypeVersion="0" ma:contentTypeDescription="Create a new document." ma:contentTypeScope="" ma:versionID="e13f52a46c7302f54f3233bc7c763269">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D9EDC-A220-4C5A-84C9-D9B19BA6D3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2BBA32-653E-4CBC-A548-625540266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19A7E77-E829-4F43-8A43-05AEFABEEA8E}">
  <ds:schemaRefs>
    <ds:schemaRef ds:uri="http://schemas.microsoft.com/sharepoint/v3/contenttype/forms"/>
  </ds:schemaRefs>
</ds:datastoreItem>
</file>

<file path=customXml/itemProps4.xml><?xml version="1.0" encoding="utf-8"?>
<ds:datastoreItem xmlns:ds="http://schemas.openxmlformats.org/officeDocument/2006/customXml" ds:itemID="{059EF89B-4FEC-43B0-92C1-25269788F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5278</Words>
  <Characters>32572</Characters>
  <Application>Microsoft Office Word</Application>
  <DocSecurity>0</DocSecurity>
  <Lines>626</Lines>
  <Paragraphs>225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Veronika</dc:creator>
  <cp:keywords/>
  <dc:description/>
  <cp:lastModifiedBy>MURPHY Veronika</cp:lastModifiedBy>
  <cp:revision>4</cp:revision>
  <cp:lastPrinted>2021-09-13T15:51:00Z</cp:lastPrinted>
  <dcterms:created xsi:type="dcterms:W3CDTF">2021-09-20T11:49:00Z</dcterms:created>
  <dcterms:modified xsi:type="dcterms:W3CDTF">2021-09-20T11:51:00Z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CP-014</vt:lpwstr>
  </property>
  <property fmtid="{D5CDD505-2E9C-101B-9397-08002B2CF9AE}" pid="7" name="Last edited using">
    <vt:lpwstr>DocuWrite 4.5.2, Build 20210531</vt:lpwstr>
  </property>
  <property fmtid="{D5CDD505-2E9C-101B-9397-08002B2CF9AE}" pid="8" name="Created using">
    <vt:lpwstr>DocuWrite 4.5.2, Build 20210531</vt:lpwstr>
  </property>
</Properties>
</file>