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K2JXU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MKCRX00K2JXU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7.5.202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17.5.2023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32218/2023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32218/2023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1609FD" w:rsidRDefault="001609FD" w:rsidP="001609FD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1609FD" w:rsidRPr="001335A3" w:rsidRDefault="001609FD" w:rsidP="001609FD">
      <w:pPr>
        <w:jc w:val="both"/>
      </w:pPr>
    </w:p>
    <w:p w:rsidR="001609FD" w:rsidRDefault="001609FD" w:rsidP="001609FD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1609FD" w:rsidRDefault="001609FD" w:rsidP="001609FD">
      <w:pPr>
        <w:pStyle w:val="Nadpis3"/>
        <w:ind w:firstLine="0"/>
        <w:jc w:val="left"/>
        <w:rPr>
          <w:b w:val="0"/>
          <w:szCs w:val="24"/>
        </w:rPr>
      </w:pPr>
    </w:p>
    <w:p w:rsidR="001609FD" w:rsidRPr="00463A93" w:rsidRDefault="001609FD" w:rsidP="001609FD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1609FD" w:rsidRDefault="001609FD" w:rsidP="001609FD">
      <w:pPr>
        <w:autoSpaceDE w:val="0"/>
        <w:autoSpaceDN w:val="0"/>
        <w:adjustRightInd w:val="0"/>
        <w:jc w:val="both"/>
        <w:rPr>
          <w:b/>
        </w:rPr>
      </w:pPr>
    </w:p>
    <w:p w:rsidR="001609FD" w:rsidRDefault="001609FD" w:rsidP="001609FD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1609FD" w:rsidRDefault="001609FD" w:rsidP="001609FD">
      <w:pPr>
        <w:autoSpaceDE w:val="0"/>
        <w:autoSpaceDN w:val="0"/>
        <w:adjustRightInd w:val="0"/>
        <w:rPr>
          <w:b/>
        </w:rPr>
      </w:pPr>
    </w:p>
    <w:p w:rsidR="001609FD" w:rsidRDefault="001609FD" w:rsidP="001609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1609FD" w:rsidRDefault="001609FD" w:rsidP="001609FD">
      <w:pPr>
        <w:autoSpaceDE w:val="0"/>
        <w:autoSpaceDN w:val="0"/>
        <w:adjustRightInd w:val="0"/>
        <w:jc w:val="both"/>
        <w:rPr>
          <w:b/>
        </w:rPr>
      </w:pPr>
    </w:p>
    <w:p w:rsidR="001609FD" w:rsidRDefault="001609FD" w:rsidP="001609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</w:t>
      </w:r>
      <w:proofErr w:type="gramEnd"/>
      <w:r>
        <w:rPr>
          <w:b/>
        </w:rPr>
        <w:t> a m í t á  tyto žádosti o poskytnutí dotace:</w:t>
      </w:r>
    </w:p>
    <w:p w:rsidR="001609FD" w:rsidRDefault="001609FD" w:rsidP="001609FD">
      <w:pPr>
        <w:autoSpaceDE w:val="0"/>
        <w:autoSpaceDN w:val="0"/>
        <w:adjustRightInd w:val="0"/>
        <w:jc w:val="both"/>
        <w:rPr>
          <w:b/>
        </w:rPr>
      </w:pPr>
    </w:p>
    <w:p w:rsidR="001609FD" w:rsidRDefault="001609FD" w:rsidP="001609FD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74"/>
        <w:gridCol w:w="3175"/>
      </w:tblGrid>
      <w:tr w:rsidR="001609FD" w:rsidTr="00505397">
        <w:trPr>
          <w:trHeight w:val="486"/>
        </w:trPr>
        <w:tc>
          <w:tcPr>
            <w:tcW w:w="989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74" w:type="dxa"/>
          </w:tcPr>
          <w:p w:rsidR="001609FD" w:rsidRPr="00B455B4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75" w:type="dxa"/>
          </w:tcPr>
          <w:p w:rsidR="001609FD" w:rsidRDefault="001609FD" w:rsidP="00505397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1609FD" w:rsidRDefault="001609FD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609FD" w:rsidRPr="00102CDC" w:rsidTr="00505397">
        <w:trPr>
          <w:trHeight w:val="300"/>
        </w:trPr>
        <w:tc>
          <w:tcPr>
            <w:tcW w:w="989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74" w:type="dxa"/>
          </w:tcPr>
          <w:p w:rsidR="001609FD" w:rsidRPr="00102CDC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Galerie výtvarného umění v Havlíčkově Brodě, Havlíčkovo náměstí 18, 580 01 Havlíčkův Brod,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13582143</w:t>
            </w:r>
          </w:p>
        </w:tc>
        <w:tc>
          <w:tcPr>
            <w:tcW w:w="3175" w:type="dxa"/>
          </w:tcPr>
          <w:p w:rsidR="001609FD" w:rsidRPr="00102CDC" w:rsidRDefault="001609FD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Restaurování velkoformátového obrazu Josefa Lady</w:t>
            </w:r>
          </w:p>
        </w:tc>
      </w:tr>
      <w:tr w:rsidR="001609FD" w:rsidRPr="00102CDC" w:rsidTr="00505397">
        <w:trPr>
          <w:trHeight w:val="270"/>
        </w:trPr>
        <w:tc>
          <w:tcPr>
            <w:tcW w:w="989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74" w:type="dxa"/>
          </w:tcPr>
          <w:p w:rsidR="001609FD" w:rsidRPr="00102CDC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Město Chotěboř, Trčků z Lípy 69, 583 01 Chotěboř,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00267538</w:t>
            </w:r>
          </w:p>
        </w:tc>
        <w:tc>
          <w:tcPr>
            <w:tcW w:w="3175" w:type="dxa"/>
          </w:tcPr>
          <w:p w:rsidR="001609FD" w:rsidRPr="00102CDC" w:rsidRDefault="001609FD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Muzeum – depozitář muzea č. p. 239 Chotěboř</w:t>
            </w:r>
          </w:p>
        </w:tc>
      </w:tr>
      <w:tr w:rsidR="001609FD" w:rsidRPr="00102CDC" w:rsidTr="00505397">
        <w:trPr>
          <w:trHeight w:val="270"/>
        </w:trPr>
        <w:tc>
          <w:tcPr>
            <w:tcW w:w="989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74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Muzeum města Brna, příspěvková organizace, Špilberk 210/1, 662 24 Brno, IČ: 00101427</w:t>
            </w:r>
          </w:p>
        </w:tc>
        <w:tc>
          <w:tcPr>
            <w:tcW w:w="3175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Restaurátorský zásah na prapor </w:t>
            </w:r>
            <w:proofErr w:type="spellStart"/>
            <w:r>
              <w:rPr>
                <w:bCs/>
              </w:rPr>
              <w:t>inv</w:t>
            </w:r>
            <w:proofErr w:type="spellEnd"/>
            <w:r>
              <w:rPr>
                <w:bCs/>
              </w:rPr>
              <w:t>. č. 102830</w:t>
            </w:r>
          </w:p>
        </w:tc>
      </w:tr>
      <w:tr w:rsidR="001609FD" w:rsidRPr="00102CDC" w:rsidTr="00505397">
        <w:trPr>
          <w:trHeight w:val="270"/>
        </w:trPr>
        <w:tc>
          <w:tcPr>
            <w:tcW w:w="989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74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Městské muzeum Lanškroun, nám. A. Jiráska 1, 563 01 Lanškroun, IČ: 484709</w:t>
            </w:r>
          </w:p>
        </w:tc>
        <w:tc>
          <w:tcPr>
            <w:tcW w:w="3175" w:type="dxa"/>
          </w:tcPr>
          <w:p w:rsidR="001609FD" w:rsidRDefault="001609FD" w:rsidP="005053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Expozice Sklářství na pomezí Čech a Moravy II.</w:t>
            </w:r>
          </w:p>
        </w:tc>
      </w:tr>
    </w:tbl>
    <w:p w:rsidR="001609FD" w:rsidRDefault="001609FD" w:rsidP="001609FD">
      <w:pPr>
        <w:autoSpaceDE w:val="0"/>
        <w:autoSpaceDN w:val="0"/>
        <w:adjustRightInd w:val="0"/>
        <w:jc w:val="both"/>
        <w:rPr>
          <w:bCs/>
        </w:rPr>
      </w:pPr>
    </w:p>
    <w:p w:rsidR="001609FD" w:rsidRDefault="001609FD" w:rsidP="001609FD">
      <w:pPr>
        <w:autoSpaceDE w:val="0"/>
        <w:autoSpaceDN w:val="0"/>
        <w:adjustRightInd w:val="0"/>
        <w:jc w:val="both"/>
        <w:rPr>
          <w:bCs/>
        </w:rPr>
      </w:pPr>
    </w:p>
    <w:p w:rsidR="001609FD" w:rsidRPr="005352DC" w:rsidRDefault="001609FD" w:rsidP="001609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1609FD" w:rsidRDefault="001609FD" w:rsidP="001609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609FD" w:rsidRPr="00D04A96" w:rsidRDefault="001609FD" w:rsidP="001609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Ministerstvo kultury podle § 14j zákona č. 218/2000 Sb., o rozpočtových pravidlech a o změně některých souvisejících zákonů (rozpočtová pravidla), v platném znění, zveřejnilo výzvu k podávání žádostí o poskytnutí dotací v programu Integrovaný systém ochrany movitého kulturního dědictví II, v podprogramu D – preventivní ochrana před nepříznivými vlivy prostředí. Tato výzva byla zveřejněna na webových stránkách Ministerstva k</w:t>
      </w:r>
      <w:r>
        <w:rPr>
          <w:rFonts w:ascii="Times New Roman" w:hAnsi="Times New Roman"/>
          <w:sz w:val="24"/>
          <w:szCs w:val="24"/>
        </w:rPr>
        <w:t>ultury coby poskytovatele dne 1</w:t>
      </w:r>
      <w:r>
        <w:rPr>
          <w:rFonts w:ascii="Times New Roman" w:hAnsi="Times New Roman"/>
          <w:sz w:val="24"/>
          <w:szCs w:val="24"/>
        </w:rPr>
        <w:t>3</w:t>
      </w:r>
      <w:r w:rsidRPr="00D04A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září</w:t>
      </w:r>
      <w:r w:rsidRPr="00D04A9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04A96">
        <w:rPr>
          <w:rFonts w:ascii="Times New Roman" w:hAnsi="Times New Roman"/>
          <w:sz w:val="24"/>
          <w:szCs w:val="24"/>
        </w:rPr>
        <w:t xml:space="preserve"> a její obsah byl v souladu s § 14j odst. 1 věta druhá rozpočtových pravidel přístupný po dobu alespoň 30 dnů. </w:t>
      </w:r>
    </w:p>
    <w:p w:rsidR="001609FD" w:rsidRPr="00D04A96" w:rsidRDefault="001609FD" w:rsidP="001609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 xml:space="preserve"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zákona č. 500/2004 Sb., správní řád, v platném znění. </w:t>
      </w:r>
    </w:p>
    <w:p w:rsidR="001609FD" w:rsidRDefault="001609FD" w:rsidP="001609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1 dospělo Ministerstvo kultury </w:t>
      </w:r>
      <w:r>
        <w:rPr>
          <w:rFonts w:ascii="Times New Roman" w:hAnsi="Times New Roman"/>
          <w:sz w:val="24"/>
          <w:szCs w:val="24"/>
        </w:rPr>
        <w:t>k závěru</w:t>
      </w:r>
      <w:r w:rsidRPr="00D04A96">
        <w:rPr>
          <w:rFonts w:ascii="Times New Roman" w:hAnsi="Times New Roman"/>
          <w:sz w:val="24"/>
          <w:szCs w:val="24"/>
        </w:rPr>
        <w:t xml:space="preserve">, že </w:t>
      </w:r>
      <w:r>
        <w:rPr>
          <w:rFonts w:ascii="Times New Roman" w:hAnsi="Times New Roman"/>
          <w:sz w:val="24"/>
          <w:szCs w:val="24"/>
        </w:rPr>
        <w:t>jeden z autorů restaurátorského návrhu nemá požadované povolení k restaurování kulturních památek</w:t>
      </w:r>
      <w:r w:rsidR="00284B6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284B6A">
        <w:rPr>
          <w:rFonts w:ascii="Times New Roman" w:hAnsi="Times New Roman"/>
          <w:sz w:val="24"/>
          <w:szCs w:val="24"/>
        </w:rPr>
        <w:t>navržený technologický postup restaurování navíc</w:t>
      </w:r>
      <w:r w:rsidR="008171C4">
        <w:rPr>
          <w:rFonts w:ascii="Times New Roman" w:hAnsi="Times New Roman"/>
          <w:sz w:val="24"/>
          <w:szCs w:val="24"/>
        </w:rPr>
        <w:t xml:space="preserve"> trpí</w:t>
      </w:r>
      <w:r w:rsidR="00284B6A">
        <w:rPr>
          <w:rFonts w:ascii="Times New Roman" w:hAnsi="Times New Roman"/>
          <w:sz w:val="24"/>
          <w:szCs w:val="24"/>
        </w:rPr>
        <w:t xml:space="preserve"> závažn</w:t>
      </w:r>
      <w:r w:rsidR="008171C4">
        <w:rPr>
          <w:rFonts w:ascii="Times New Roman" w:hAnsi="Times New Roman"/>
          <w:sz w:val="24"/>
          <w:szCs w:val="24"/>
        </w:rPr>
        <w:t>ými</w:t>
      </w:r>
      <w:bookmarkStart w:id="5" w:name="_GoBack"/>
      <w:bookmarkEnd w:id="5"/>
      <w:r w:rsidR="00284B6A">
        <w:rPr>
          <w:rFonts w:ascii="Times New Roman" w:hAnsi="Times New Roman"/>
          <w:sz w:val="24"/>
          <w:szCs w:val="24"/>
        </w:rPr>
        <w:t xml:space="preserve"> nedostatky.</w:t>
      </w:r>
      <w:r w:rsidRPr="00D04A96">
        <w:rPr>
          <w:rFonts w:ascii="Times New Roman" w:hAnsi="Times New Roman"/>
          <w:sz w:val="24"/>
          <w:szCs w:val="24"/>
        </w:rPr>
        <w:t xml:space="preserve"> </w:t>
      </w:r>
    </w:p>
    <w:p w:rsidR="00284B6A" w:rsidRDefault="001609FD" w:rsidP="00284B6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é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 čísl</w:t>
      </w:r>
      <w:r>
        <w:rPr>
          <w:rFonts w:ascii="Times New Roman" w:hAnsi="Times New Roman"/>
          <w:sz w:val="24"/>
          <w:szCs w:val="24"/>
        </w:rPr>
        <w:t>em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04A96">
        <w:rPr>
          <w:rFonts w:ascii="Times New Roman" w:hAnsi="Times New Roman"/>
          <w:sz w:val="24"/>
          <w:szCs w:val="24"/>
        </w:rPr>
        <w:t xml:space="preserve"> dospělo Ministerstvo kultury k</w:t>
      </w:r>
      <w:r>
        <w:rPr>
          <w:rFonts w:ascii="Times New Roman" w:hAnsi="Times New Roman"/>
          <w:sz w:val="24"/>
          <w:szCs w:val="24"/>
        </w:rPr>
        <w:t> </w:t>
      </w:r>
      <w:r w:rsidRPr="00D04A96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u, </w:t>
      </w:r>
      <w:r w:rsidR="00284B6A">
        <w:rPr>
          <w:rFonts w:ascii="Times New Roman" w:hAnsi="Times New Roman"/>
          <w:sz w:val="24"/>
          <w:szCs w:val="24"/>
        </w:rPr>
        <w:t>že s</w:t>
      </w:r>
      <w:r w:rsidR="00284B6A" w:rsidRPr="00D04A96">
        <w:rPr>
          <w:rFonts w:ascii="Times New Roman" w:hAnsi="Times New Roman"/>
          <w:sz w:val="24"/>
          <w:szCs w:val="24"/>
        </w:rPr>
        <w:t> ohledem na rozpočtové možnosti programu</w:t>
      </w:r>
      <w:r w:rsidR="00284B6A">
        <w:rPr>
          <w:rFonts w:ascii="Times New Roman" w:hAnsi="Times New Roman"/>
          <w:sz w:val="24"/>
          <w:szCs w:val="24"/>
        </w:rPr>
        <w:t xml:space="preserve"> a na skutečnost, že na základě předloženého rozpočtu nebylo možno požadovaný celek strukturovat na menší smysluplné části, nelze žádost přiměřeně podpořit</w:t>
      </w:r>
      <w:r w:rsidR="00284B6A" w:rsidRPr="00D04A96">
        <w:rPr>
          <w:rFonts w:ascii="Times New Roman" w:hAnsi="Times New Roman"/>
          <w:sz w:val="24"/>
          <w:szCs w:val="24"/>
        </w:rPr>
        <w:t xml:space="preserve"> </w:t>
      </w:r>
    </w:p>
    <w:p w:rsidR="00284B6A" w:rsidRDefault="001609FD" w:rsidP="00284B6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D04A96">
        <w:rPr>
          <w:rFonts w:ascii="Times New Roman" w:hAnsi="Times New Roman"/>
          <w:sz w:val="24"/>
          <w:szCs w:val="24"/>
        </w:rPr>
        <w:t>Ohledně žádost</w:t>
      </w:r>
      <w:r w:rsidR="00284B6A">
        <w:rPr>
          <w:rFonts w:ascii="Times New Roman" w:hAnsi="Times New Roman"/>
          <w:sz w:val="24"/>
          <w:szCs w:val="24"/>
        </w:rPr>
        <w:t>í</w:t>
      </w:r>
      <w:r w:rsidRPr="00D04A96">
        <w:rPr>
          <w:rFonts w:ascii="Times New Roman" w:hAnsi="Times New Roman"/>
          <w:sz w:val="24"/>
          <w:szCs w:val="24"/>
        </w:rPr>
        <w:t xml:space="preserve"> uveden</w:t>
      </w:r>
      <w:r w:rsidR="00284B6A">
        <w:rPr>
          <w:rFonts w:ascii="Times New Roman" w:hAnsi="Times New Roman"/>
          <w:sz w:val="24"/>
          <w:szCs w:val="24"/>
        </w:rPr>
        <w:t>ých</w:t>
      </w:r>
      <w:r w:rsidRPr="00D04A96">
        <w:rPr>
          <w:rFonts w:ascii="Times New Roman" w:hAnsi="Times New Roman"/>
          <w:sz w:val="24"/>
          <w:szCs w:val="24"/>
        </w:rPr>
        <w:t xml:space="preserve"> ve výroku tohoto rozhodnutí pod pořadovým</w:t>
      </w:r>
      <w:r w:rsidR="00284B6A">
        <w:rPr>
          <w:rFonts w:ascii="Times New Roman" w:hAnsi="Times New Roman"/>
          <w:sz w:val="24"/>
          <w:szCs w:val="24"/>
        </w:rPr>
        <w:t>i</w:t>
      </w:r>
      <w:r w:rsidRPr="00D04A96">
        <w:rPr>
          <w:rFonts w:ascii="Times New Roman" w:hAnsi="Times New Roman"/>
          <w:sz w:val="24"/>
          <w:szCs w:val="24"/>
        </w:rPr>
        <w:t xml:space="preserve"> čísl</w:t>
      </w:r>
      <w:r w:rsidR="00284B6A">
        <w:rPr>
          <w:rFonts w:ascii="Times New Roman" w:hAnsi="Times New Roman"/>
          <w:sz w:val="24"/>
          <w:szCs w:val="24"/>
        </w:rPr>
        <w:t>y</w:t>
      </w:r>
      <w:r w:rsidRPr="00D0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284B6A">
        <w:rPr>
          <w:rFonts w:ascii="Times New Roman" w:hAnsi="Times New Roman"/>
          <w:sz w:val="24"/>
          <w:szCs w:val="24"/>
        </w:rPr>
        <w:t xml:space="preserve"> a 4</w:t>
      </w:r>
      <w:r w:rsidRPr="00D04A96">
        <w:rPr>
          <w:rFonts w:ascii="Times New Roman" w:hAnsi="Times New Roman"/>
          <w:sz w:val="24"/>
          <w:szCs w:val="24"/>
        </w:rPr>
        <w:t xml:space="preserve"> Ministerstvo kultury </w:t>
      </w:r>
      <w:r w:rsidR="00284B6A">
        <w:rPr>
          <w:rFonts w:ascii="Times New Roman" w:hAnsi="Times New Roman"/>
          <w:sz w:val="24"/>
          <w:szCs w:val="24"/>
        </w:rPr>
        <w:t>konstatuje</w:t>
      </w:r>
      <w:r>
        <w:rPr>
          <w:rFonts w:ascii="Times New Roman" w:hAnsi="Times New Roman"/>
          <w:sz w:val="24"/>
          <w:szCs w:val="24"/>
        </w:rPr>
        <w:t xml:space="preserve">, </w:t>
      </w:r>
      <w:r w:rsidR="00284B6A">
        <w:rPr>
          <w:rFonts w:ascii="Times New Roman" w:hAnsi="Times New Roman"/>
          <w:sz w:val="24"/>
          <w:szCs w:val="24"/>
        </w:rPr>
        <w:t>že žadatelé byli z důvodu opožděného podání závěrečného vyhodnocení loňské akce vyzvání k vratkám části dotace, které ve stanoveném termínu neuskutečnili.</w:t>
      </w:r>
    </w:p>
    <w:p w:rsidR="001609FD" w:rsidRDefault="001609FD" w:rsidP="001609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 xml:space="preserve">předpokládá § </w:t>
      </w:r>
      <w:proofErr w:type="gramStart"/>
      <w:r>
        <w:rPr>
          <w:rFonts w:ascii="Times New Roman" w:hAnsi="Times New Roman"/>
          <w:sz w:val="24"/>
          <w:szCs w:val="24"/>
        </w:rPr>
        <w:t>14m</w:t>
      </w:r>
      <w:proofErr w:type="gramEnd"/>
      <w:r>
        <w:rPr>
          <w:rFonts w:ascii="Times New Roman" w:hAnsi="Times New Roman"/>
          <w:sz w:val="24"/>
          <w:szCs w:val="24"/>
        </w:rPr>
        <w:t xml:space="preserve">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1609FD" w:rsidRDefault="001609FD" w:rsidP="001609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FD" w:rsidRDefault="001609FD" w:rsidP="001609FD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09FD" w:rsidRDefault="001609FD" w:rsidP="001609FD">
      <w:pPr>
        <w:pStyle w:val="Bezmezer"/>
        <w:rPr>
          <w:rFonts w:ascii="Times New Roman" w:hAnsi="Times New Roman"/>
          <w:sz w:val="24"/>
          <w:szCs w:val="24"/>
        </w:rPr>
      </w:pPr>
    </w:p>
    <w:p w:rsidR="001609FD" w:rsidRPr="00FD2404" w:rsidRDefault="001609FD" w:rsidP="001609FD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1609FD" w:rsidRPr="00FD2404" w:rsidRDefault="001609FD" w:rsidP="001609FD">
      <w:pPr>
        <w:pStyle w:val="Bezmezer"/>
        <w:rPr>
          <w:rFonts w:ascii="Times New Roman" w:hAnsi="Times New Roman"/>
          <w:sz w:val="24"/>
          <w:szCs w:val="24"/>
        </w:rPr>
      </w:pPr>
    </w:p>
    <w:p w:rsidR="001609FD" w:rsidRPr="00FD2404" w:rsidRDefault="001609FD" w:rsidP="001609F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gramStart"/>
      <w:r w:rsidRPr="00FD2404">
        <w:rPr>
          <w:rFonts w:ascii="Times New Roman" w:hAnsi="Times New Roman"/>
          <w:sz w:val="24"/>
          <w:szCs w:val="24"/>
        </w:rPr>
        <w:t>14q</w:t>
      </w:r>
      <w:proofErr w:type="gram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1609FD" w:rsidRPr="00FD2404" w:rsidRDefault="001609FD" w:rsidP="001609FD">
      <w:pPr>
        <w:pStyle w:val="Bezmezer"/>
        <w:rPr>
          <w:rFonts w:ascii="Times New Roman" w:hAnsi="Times New Roman"/>
          <w:sz w:val="24"/>
          <w:szCs w:val="24"/>
        </w:rPr>
      </w:pPr>
    </w:p>
    <w:p w:rsidR="001609FD" w:rsidRDefault="001609FD" w:rsidP="001609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609FD" w:rsidRPr="00463A93" w:rsidRDefault="001609FD" w:rsidP="001609FD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609FD" w:rsidRPr="00463A93" w:rsidRDefault="001609FD" w:rsidP="001609FD">
      <w:pPr>
        <w:ind w:firstLine="720"/>
        <w:jc w:val="both"/>
      </w:pPr>
      <w:r w:rsidRPr="00463A93">
        <w:t xml:space="preserve"> </w:t>
      </w:r>
    </w:p>
    <w:p w:rsidR="001609FD" w:rsidRDefault="001609FD" w:rsidP="001609FD">
      <w:pPr>
        <w:ind w:left="4248" w:firstLine="708"/>
        <w:jc w:val="both"/>
      </w:pPr>
      <w:r>
        <w:t>ředitel Odboru muzeí a galerií</w:t>
      </w:r>
    </w:p>
    <w:p w:rsidR="001609FD" w:rsidRDefault="001609FD" w:rsidP="001609FD">
      <w:pPr>
        <w:ind w:left="4248"/>
        <w:jc w:val="both"/>
      </w:pPr>
      <w:r>
        <w:t xml:space="preserve">     v zastoupení PhDr. Jan Holovský, Ph.D.</w:t>
      </w:r>
    </w:p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1609FD"/>
    <w:rsid w:val="00190A9A"/>
    <w:rsid w:val="001C31A9"/>
    <w:rsid w:val="002155E1"/>
    <w:rsid w:val="00235279"/>
    <w:rsid w:val="00282969"/>
    <w:rsid w:val="00284B6A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C0CBA"/>
    <w:rsid w:val="008171C4"/>
    <w:rsid w:val="00833952"/>
    <w:rsid w:val="0094085D"/>
    <w:rsid w:val="00953613"/>
    <w:rsid w:val="009A19C7"/>
    <w:rsid w:val="00A556F6"/>
    <w:rsid w:val="00AB0AC1"/>
    <w:rsid w:val="00B33F99"/>
    <w:rsid w:val="00D56568"/>
    <w:rsid w:val="00F354F3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083C2"/>
  <w15:docId w15:val="{4338C240-80EB-4253-AC35-8763D58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09FD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1609FD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609FD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1609FD"/>
    <w:rPr>
      <w:b/>
      <w:noProof/>
      <w:sz w:val="24"/>
    </w:rPr>
  </w:style>
  <w:style w:type="paragraph" w:styleId="Bezmezer">
    <w:name w:val="No Spacing"/>
    <w:uiPriority w:val="1"/>
    <w:qFormat/>
    <w:rsid w:val="001609FD"/>
    <w:rPr>
      <w:rFonts w:ascii="Verdana" w:eastAsia="Calibri" w:hAnsi="Verdana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1609FD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609F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4345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2023-05-17T08:41:00Z</cp:lastPrinted>
  <dcterms:created xsi:type="dcterms:W3CDTF">2023-05-17T08:42:00Z</dcterms:created>
  <dcterms:modified xsi:type="dcterms:W3CDTF">2023-05-17T08:42:00Z</dcterms:modified>
</cp:coreProperties>
</file>