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A8" w:rsidRPr="00BC4EFD" w:rsidRDefault="006B73F8">
      <w:pPr>
        <w:jc w:val="both"/>
        <w:rPr>
          <w:i/>
          <w:sz w:val="40"/>
          <w:szCs w:val="40"/>
        </w:rPr>
      </w:pPr>
      <w:r w:rsidRPr="00BC4EFD">
        <w:rPr>
          <w:i/>
          <w:sz w:val="40"/>
          <w:szCs w:val="40"/>
        </w:rPr>
        <w:t>Shrnutí</w:t>
      </w:r>
    </w:p>
    <w:p w:rsidR="00BA0BA8" w:rsidRPr="00BC4EFD" w:rsidRDefault="006B73F8">
      <w:pPr>
        <w:jc w:val="both"/>
      </w:pPr>
      <w:r w:rsidRPr="00BC4EFD">
        <w:t xml:space="preserve">Celosvětová zpráva za rok 2018 analyzuje další pokrok, kterého bylo dosaženo při provádění Úmluvy organizace UNESCO o ochraně a podpoře rozmanitosti kulturních projevů (2005), a to od doby zveřejnění první takovéto zprávy v roce 2015. Jedná se o </w:t>
      </w:r>
      <w:r w:rsidRPr="00BC4EFD">
        <w:t>dílo deseti nezávislých odborníků, kteří spolupracují s tajemnicí úmluvy a jejími kolegy, ale také se společností BOP Consulting a hlavním redaktorem.</w:t>
      </w:r>
    </w:p>
    <w:p w:rsidR="00BA0BA8" w:rsidRPr="00BC4EFD" w:rsidRDefault="006B73F8">
      <w:pPr>
        <w:jc w:val="both"/>
      </w:pPr>
      <w:r w:rsidRPr="00BC4EFD">
        <w:t>Každá celosvětová zpráva vychází z analýzy periodických zpráv za každé čtyři roky, jež předkládají smluvn</w:t>
      </w:r>
      <w:r w:rsidRPr="00BC4EFD">
        <w:t>í strany úmluvy (tento postup schválila konference smluvních stran úmluvy v roce 2011). Za účelem vypracování této celosvětové zprávy nastudovali autoři 62 periodických zpráv předložených smluvními stranami od roku 2015 a kromě toho získávali relevantní no</w:t>
      </w:r>
      <w:r w:rsidRPr="00BC4EFD">
        <w:t>vé poznatky také z jiných druhů zdrojů. Rovněž čerpali ze svých vlastních odborných zkušeností.</w:t>
      </w:r>
    </w:p>
    <w:p w:rsidR="00BA0BA8" w:rsidRPr="00BC4EFD" w:rsidRDefault="006B73F8">
      <w:pPr>
        <w:jc w:val="both"/>
      </w:pPr>
      <w:r w:rsidRPr="00BC4EFD">
        <w:t>Úvod, jehož autory jsou tajemnice úmluvy a hlavní redaktor, vysvětluje dlouhodobé cíle celosvětové zprávy, představuje vůdčí zásady a hodnoty, z nichž úmluva vy</w:t>
      </w:r>
      <w:r w:rsidRPr="00BC4EFD">
        <w:t>chází, jakož i hlavní směry metodického rámce pro monitorování dopadu jejího provádění, jenž byl zaveden v roce 2015. Tento rámec sestává z těchto čtyř cílů:</w:t>
      </w:r>
    </w:p>
    <w:p w:rsidR="00BA0BA8" w:rsidRPr="00BC4EFD" w:rsidRDefault="006B73F8">
      <w:pPr>
        <w:jc w:val="both"/>
        <w:rPr>
          <w:b/>
          <w:color w:val="C00000"/>
        </w:rPr>
      </w:pPr>
      <w:r w:rsidRPr="00BC4EFD">
        <w:rPr>
          <w:b/>
          <w:color w:val="C00000"/>
        </w:rPr>
        <w:t>Cíl 1</w:t>
      </w:r>
      <w:r w:rsidRPr="00BC4EFD">
        <w:rPr>
          <w:b/>
          <w:color w:val="C00000"/>
        </w:rPr>
        <w:tab/>
        <w:t>PODPORA UDRŽITELNÝCH SYSTÉMŮ SPRÁVY PRO KULTURU</w:t>
      </w:r>
    </w:p>
    <w:p w:rsidR="00BA0BA8" w:rsidRPr="00BC4EFD" w:rsidRDefault="006B73F8">
      <w:pPr>
        <w:jc w:val="both"/>
        <w:rPr>
          <w:b/>
          <w:color w:val="FFC000"/>
        </w:rPr>
      </w:pPr>
      <w:r w:rsidRPr="00BC4EFD">
        <w:rPr>
          <w:b/>
          <w:color w:val="FFC000"/>
        </w:rPr>
        <w:t>Cíl 2</w:t>
      </w:r>
      <w:r w:rsidRPr="00BC4EFD">
        <w:rPr>
          <w:b/>
          <w:color w:val="FFC000"/>
        </w:rPr>
        <w:tab/>
        <w:t>DOSAŽENÍ VYVÁŽENÉHO TOKU KULTURNÍCH ST</w:t>
      </w:r>
      <w:r w:rsidRPr="00BC4EFD">
        <w:rPr>
          <w:b/>
          <w:color w:val="FFC000"/>
        </w:rPr>
        <w:t>ATKŮ A SLUŽEB A ZVÝŠENÍ MOBILITY UMĚLCŮ A PRACOVNÍKŮ V KULTUŘE</w:t>
      </w:r>
    </w:p>
    <w:p w:rsidR="00BA0BA8" w:rsidRPr="00BC4EFD" w:rsidRDefault="006B73F8">
      <w:pPr>
        <w:jc w:val="both"/>
        <w:rPr>
          <w:b/>
          <w:color w:val="0070C0"/>
        </w:rPr>
      </w:pPr>
      <w:r w:rsidRPr="00BC4EFD">
        <w:rPr>
          <w:b/>
          <w:color w:val="0070C0"/>
        </w:rPr>
        <w:t>Cíl 3</w:t>
      </w:r>
      <w:r w:rsidRPr="00BC4EFD">
        <w:rPr>
          <w:b/>
          <w:color w:val="0070C0"/>
        </w:rPr>
        <w:tab/>
        <w:t>ZAČLENĚNÍ KULTURY DO RÁMCŮ UDRŽITELNÉHO ROZVOJE</w:t>
      </w:r>
    </w:p>
    <w:p w:rsidR="00BA0BA8" w:rsidRPr="00BC4EFD" w:rsidRDefault="006B73F8">
      <w:pPr>
        <w:jc w:val="both"/>
        <w:rPr>
          <w:b/>
          <w:color w:val="92D050"/>
        </w:rPr>
      </w:pPr>
      <w:r w:rsidRPr="00BC4EFD">
        <w:rPr>
          <w:b/>
          <w:color w:val="92D050"/>
        </w:rPr>
        <w:t>Cíl 4</w:t>
      </w:r>
      <w:r w:rsidRPr="00BC4EFD">
        <w:rPr>
          <w:b/>
          <w:color w:val="92D050"/>
        </w:rPr>
        <w:tab/>
        <w:t>PROSAZOVÁNÍ LIDSKÝCH PRÁV A ZÁKLADNÍCH SVOBOD</w:t>
      </w:r>
    </w:p>
    <w:p w:rsidR="00BA0BA8" w:rsidRPr="00BC4EFD" w:rsidRDefault="006B73F8">
      <w:pPr>
        <w:jc w:val="both"/>
      </w:pPr>
      <w:r w:rsidRPr="00BC4EFD">
        <w:t>V úvodu je rovněž uvedena souvislost mezi snahou o dosažení těchto cílů a cíli udržitel</w:t>
      </w:r>
      <w:r w:rsidRPr="00BC4EFD">
        <w:t>ného rozvoje 2030 a jsou zde stanoveny hlavní prvky plánu pro několik příštích let, díky nimž se celosvětová zpráva může stát v dlouhodobém horizontu účinným nástrojem pro vytváření nových platforem pro politický dialog a transformaci politik.</w:t>
      </w:r>
    </w:p>
    <w:p w:rsidR="00BA0BA8" w:rsidRPr="00BC4EFD" w:rsidRDefault="006B73F8">
      <w:pPr>
        <w:jc w:val="both"/>
      </w:pPr>
      <w:r w:rsidRPr="00BC4EFD">
        <w:t>Prvním a stě</w:t>
      </w:r>
      <w:r w:rsidRPr="00BC4EFD">
        <w:t xml:space="preserve">žejním cílem je </w:t>
      </w:r>
      <w:r w:rsidRPr="00BC4EFD">
        <w:rPr>
          <w:b/>
          <w:color w:val="C00000"/>
        </w:rPr>
        <w:t>podpora udržitelných systémů správy pro kulturu</w:t>
      </w:r>
      <w:r w:rsidRPr="00BC4EFD">
        <w:t>, což přispěje k provádění cílů udržitelného rozvoje č. 8, 16 a 17. Touto výzvou se zabývají první čtyři kapitoly, které společně tvoří první oddíl této celosvětové zprávy. V první kapitole toh</w:t>
      </w:r>
      <w:r w:rsidRPr="00BC4EFD">
        <w:t xml:space="preserve">oto oddílu se analyzují </w:t>
      </w:r>
      <w:r w:rsidRPr="00BC4EFD">
        <w:rPr>
          <w:b/>
          <w:i/>
          <w:color w:val="C00000"/>
        </w:rPr>
        <w:t>politiky a opatření</w:t>
      </w:r>
      <w:r w:rsidRPr="00BC4EFD">
        <w:rPr>
          <w:color w:val="C00000"/>
        </w:rPr>
        <w:t xml:space="preserve"> </w:t>
      </w:r>
      <w:r w:rsidRPr="00BC4EFD">
        <w:t xml:space="preserve">na podporu rozmanitosti kulturních projevů a autor se zde s čtenáři podělí o řadu klíčových závěrů. Autor dospěl k závěru, že úmluva zjevně propůjčuje větší legitimitu a </w:t>
      </w:r>
      <w:r w:rsidR="00B61381" w:rsidRPr="00BC4EFD">
        <w:t xml:space="preserve">nabízí </w:t>
      </w:r>
      <w:r w:rsidRPr="00BC4EFD">
        <w:t>také inspiraci pro přijímání politik v obl</w:t>
      </w:r>
      <w:r w:rsidRPr="00BC4EFD">
        <w:t>asti kultury a jejich uzpůsobování změnám doby. Provádění úmluvy začíná mít pozitivní dopad na správu založenou na spolupráci a na vytváření politik formou zapojení mnoha zúčastněných stran, a to zejména v některých rozvojových zemích a v oblastech kreativ</w:t>
      </w:r>
      <w:r w:rsidRPr="00BC4EFD">
        <w:t>ní ekonomiky a kulturního vzdělávání. Významné inovace týkající se kulturní politiky v oblastech, v nichž disponují pravomocemi</w:t>
      </w:r>
      <w:r w:rsidR="00A95C76" w:rsidRPr="00BC4EFD">
        <w:t>,</w:t>
      </w:r>
      <w:r w:rsidRPr="00BC4EFD">
        <w:t xml:space="preserve"> provádějí v současnosti místní a regionální orgány. Zejména v rozvojových zemích existuje korelace mezi prováděním politik a fin</w:t>
      </w:r>
      <w:r w:rsidRPr="00BC4EFD">
        <w:t xml:space="preserve">ancováním v rámci celého kulturního hodnotového řetězce a možnostmi publika získat přístup k obsahu vytvořenému v daném místě. Monitorování a hodnocení výsledků je však i nadále ojedinělé a to má za následek nedostatek dat, </w:t>
      </w:r>
      <w:r w:rsidRPr="00BC4EFD">
        <w:lastRenderedPageBreak/>
        <w:t>což ztěžuje možnost hodnotit úči</w:t>
      </w:r>
      <w:r w:rsidRPr="00BC4EFD">
        <w:t>nnost kulturních politik, pokud jde o přispívání k rozmanitosti kulturních projevů.</w:t>
      </w:r>
    </w:p>
    <w:p w:rsidR="00BA0BA8" w:rsidRPr="00BC4EFD" w:rsidRDefault="006B73F8">
      <w:pPr>
        <w:jc w:val="both"/>
      </w:pPr>
      <w:r w:rsidRPr="00BC4EFD">
        <w:t xml:space="preserve">Druhá kapitola v tomto oddílu se věnuje </w:t>
      </w:r>
      <w:r w:rsidRPr="00BC4EFD">
        <w:rPr>
          <w:b/>
          <w:i/>
          <w:color w:val="C00000"/>
        </w:rPr>
        <w:t>sdělovacím prostředkům veřejné služby</w:t>
      </w:r>
      <w:r w:rsidRPr="00BC4EFD">
        <w:t xml:space="preserve"> jakožto producentům, zadavatelům, distributorům</w:t>
      </w:r>
      <w:r w:rsidR="00A95C76" w:rsidRPr="00BC4EFD">
        <w:t>, šiřitelům</w:t>
      </w:r>
      <w:r w:rsidRPr="00BC4EFD">
        <w:t xml:space="preserve"> a zprostředkovatelům vysoce kvalitního kultur</w:t>
      </w:r>
      <w:r w:rsidRPr="00BC4EFD">
        <w:t xml:space="preserve">ního obsahu. Autorka dokázala odhalit řadu podstatných zlepšení v legislativním základu svobody sdělovacích prostředků a jejich rozmanitosti </w:t>
      </w:r>
      <w:r w:rsidR="00A95C76" w:rsidRPr="00BC4EFD">
        <w:t xml:space="preserve">v důsledku toho, že </w:t>
      </w:r>
      <w:r w:rsidRPr="00BC4EFD">
        <w:t>vlády aktualizovaly cíle a systémy svých sdělovacích prostředků veřejné služby. Uvádí, že krea</w:t>
      </w:r>
      <w:r w:rsidRPr="00BC4EFD">
        <w:t xml:space="preserve">tivitu a rozmanitost ve sdělovacích prostředcích, a to jak soukromých, tak ve sdělovacích prostředcích veřejné služby, v současnosti posilují </w:t>
      </w:r>
      <w:r w:rsidR="00D61A1C" w:rsidRPr="00BC4EFD">
        <w:t>právní předpisy, které</w:t>
      </w:r>
      <w:r w:rsidRPr="00BC4EFD">
        <w:t xml:space="preserve"> stanoví kvóty, jež </w:t>
      </w:r>
      <w:r w:rsidR="00B61381" w:rsidRPr="00BC4EFD">
        <w:t>nyní</w:t>
      </w:r>
      <w:r w:rsidRPr="00BC4EFD">
        <w:t xml:space="preserve"> uplatňuje 90 zemí na celém světě. Nové politické rámce přizpůsobe</w:t>
      </w:r>
      <w:r w:rsidRPr="00BC4EFD">
        <w:t>né digitálnímu kontextu začínají reagovat na výzvy, jež představuje horizontální a vertikální konvergence sdělovacích prostředků. Přesto přetrvávají nedostatky. Zejména je i nadále naléhavě zapotřebí modelu sdělovacích prostředků veřejné služby, který by b</w:t>
      </w:r>
      <w:r w:rsidRPr="00BC4EFD">
        <w:t>yl orientován na budoucnost a jenž by sloužil potřebám všech jednotlivců a skupin a reagoval na změny veřejného smýšlení i na procesy konvergence.</w:t>
      </w:r>
    </w:p>
    <w:p w:rsidR="00BA0BA8" w:rsidRPr="00BC4EFD" w:rsidRDefault="006B73F8">
      <w:pPr>
        <w:jc w:val="both"/>
      </w:pPr>
      <w:r w:rsidRPr="00BC4EFD">
        <w:t>Je nesporné, že technologická revoluce má zásadní dopad na správu sdělovacích prostředků i na všechny aspekty</w:t>
      </w:r>
      <w:r w:rsidRPr="00BC4EFD">
        <w:t xml:space="preserve"> kulturního hodnotového řetězce. Ve třetí kapitole se zkoumají důsledky plynoucí z rychle se měnícího </w:t>
      </w:r>
      <w:r w:rsidRPr="00BC4EFD">
        <w:rPr>
          <w:b/>
          <w:i/>
          <w:color w:val="C00000"/>
        </w:rPr>
        <w:t>digitálního prostředí</w:t>
      </w:r>
      <w:r w:rsidRPr="00BC4EFD">
        <w:t>. Kulturní hodnotov</w:t>
      </w:r>
      <w:r w:rsidR="00B61381" w:rsidRPr="00BC4EFD">
        <w:t xml:space="preserve">ý řetězec se mění z lineární konfigurace </w:t>
      </w:r>
      <w:r w:rsidRPr="00BC4EFD">
        <w:t>do podoby síťov</w:t>
      </w:r>
      <w:r w:rsidR="00D61A1C" w:rsidRPr="00BC4EFD">
        <w:t>ého</w:t>
      </w:r>
      <w:r w:rsidRPr="00BC4EFD">
        <w:t xml:space="preserve"> model</w:t>
      </w:r>
      <w:r w:rsidR="00D61A1C" w:rsidRPr="00BC4EFD">
        <w:t>u</w:t>
      </w:r>
      <w:r w:rsidRPr="00BC4EFD">
        <w:t xml:space="preserve"> – a jen málo zemí má zavedenou strate</w:t>
      </w:r>
      <w:r w:rsidRPr="00BC4EFD">
        <w:t>gii, jak s těmito změnami naložit. Jen velmi málo smluvních stran navrhlo a provedlo digitální kulturní politiky, které překračují rámec pouhých iniciativ zaměřených na digitalizaci nebo posílení konkrétních uzlových bodů hodnotového řetězce. Na světovém J</w:t>
      </w:r>
      <w:r w:rsidRPr="00BC4EFD">
        <w:t>ihu chybí mnoha zemím navzdory výhodám plynoucím z hromadného přijetí mobilního širokopásmového připojení infrastruktura a nejsou schopny konsolidovat trh s digitálně vytvářenými a distribuovanými kulturními statky a službami. Vzestup velkých platforem tak</w:t>
      </w:r>
      <w:r w:rsidRPr="00BC4EFD">
        <w:t>é vytvořil koncen</w:t>
      </w:r>
      <w:r w:rsidR="00D61A1C" w:rsidRPr="00BC4EFD">
        <w:t>traci trhu a má za následek nedostatek statistických údajů</w:t>
      </w:r>
      <w:r w:rsidRPr="00BC4EFD">
        <w:t xml:space="preserve"> ve veřejném sektoru a </w:t>
      </w:r>
      <w:r w:rsidR="00D61A1C" w:rsidRPr="00BC4EFD">
        <w:t>vznik</w:t>
      </w:r>
      <w:r w:rsidRPr="00BC4EFD">
        <w:t xml:space="preserve"> monopolu na umělou inteligenci. Bez cíleného přístupu k boji proti těmto rizikům může veřejný sektor zcela pozbýt své hybatelské úlohy v tvůrčí oblasti. P</w:t>
      </w:r>
      <w:r w:rsidRPr="00BC4EFD">
        <w:t>roto, jak uvádí autor, je naléhavě zapotřebí zcela nového typu vztahu mezi veřejným sektorem, soukromými společnostmi a občanskou společností, a to takového</w:t>
      </w:r>
      <w:r w:rsidRPr="00BC4EFD">
        <w:t>, který je založen na interaktivitě, spolupráci a společném vytváření politických rámců.</w:t>
      </w:r>
    </w:p>
    <w:p w:rsidR="00BA0BA8" w:rsidRPr="00BC4EFD" w:rsidRDefault="006B73F8">
      <w:pPr>
        <w:jc w:val="both"/>
      </w:pPr>
      <w:r w:rsidRPr="00BC4EFD">
        <w:t>V té</w:t>
      </w:r>
      <w:r w:rsidRPr="00BC4EFD">
        <w:t xml:space="preserve">to souvislosti je úmluva i nadále průkopnickou smlouvou, a to díky významu, který přikládá příspěvku subjektů </w:t>
      </w:r>
      <w:r w:rsidRPr="00BC4EFD">
        <w:rPr>
          <w:b/>
          <w:i/>
          <w:color w:val="C00000"/>
        </w:rPr>
        <w:t>občanské společnosti</w:t>
      </w:r>
      <w:r w:rsidRPr="00BC4EFD">
        <w:rPr>
          <w:color w:val="C00000"/>
        </w:rPr>
        <w:t xml:space="preserve"> </w:t>
      </w:r>
      <w:r w:rsidRPr="00BC4EFD">
        <w:t>k provádění politik v tak složitých oblastech, jako je produkce a distribuce kulturních statků a služeb. Ve čtvrté kapitole s</w:t>
      </w:r>
      <w:r w:rsidRPr="00BC4EFD">
        <w:t>e tento rozměr analyzuje a autor argumentuje tvrzením, že cíle úmluvy spočívajícího v podpoře udržitelných systémů správy pro kulturu lze dosáhnout pouze za významné účasti občanské společnosti. Řada subjektů občanské společnosti se však domnívá, že proces</w:t>
      </w:r>
      <w:r w:rsidRPr="00BC4EFD">
        <w:t>y tvorby politiky nejsou transparentní a že právní a správní předpisy takovouto účast dostatečně neumožňují. Navzdory těmto výzvám je silné jádro organizací občanské společnosti odhodláno sehrát úlohu při zdokonalování správy v oblasti kultury a při vyprac</w:t>
      </w:r>
      <w:r w:rsidRPr="00BC4EFD">
        <w:t>ová</w:t>
      </w:r>
      <w:r w:rsidR="00FC2442" w:rsidRPr="00BC4EFD">
        <w:t>vá</w:t>
      </w:r>
      <w:r w:rsidRPr="00BC4EFD">
        <w:t xml:space="preserve">ní kulturní politiky. Subjekty občanské společnosti reagovaly na úmluvu svoláním </w:t>
      </w:r>
      <w:r w:rsidR="00FC2442" w:rsidRPr="00BC4EFD">
        <w:t>schůzí podobných organizací a</w:t>
      </w:r>
      <w:r w:rsidRPr="00BC4EFD">
        <w:t xml:space="preserve"> </w:t>
      </w:r>
      <w:r w:rsidRPr="00BC4EFD">
        <w:t xml:space="preserve">zapojily </w:t>
      </w:r>
      <w:r w:rsidR="00FC2442" w:rsidRPr="00BC4EFD">
        <w:t xml:space="preserve">se </w:t>
      </w:r>
      <w:r w:rsidRPr="00BC4EFD">
        <w:t>do hájení, vytváření a sdílení poznatků a vytváření nových sítí. Aby však bylo možné dosáhnout nutné míry propojení při tvorbě polit</w:t>
      </w:r>
      <w:r w:rsidRPr="00BC4EFD">
        <w:t xml:space="preserve">ik, potřebuje občanská společnost podporu a zdroje na rozvoj kapacit se zaměřením na účast </w:t>
      </w:r>
      <w:r w:rsidR="00B61381" w:rsidRPr="00BC4EFD">
        <w:t>na</w:t>
      </w:r>
      <w:r w:rsidRPr="00BC4EFD">
        <w:t xml:space="preserve"> tvorbě politik, komunikaci a vytváření sítí.</w:t>
      </w:r>
    </w:p>
    <w:p w:rsidR="00BA0BA8" w:rsidRPr="00BC4EFD" w:rsidRDefault="006B73F8">
      <w:pPr>
        <w:jc w:val="both"/>
      </w:pPr>
      <w:r w:rsidRPr="00BC4EFD">
        <w:lastRenderedPageBreak/>
        <w:t>Druhý oddíl zprávy se týká cíle spočívajícího v </w:t>
      </w:r>
      <w:r w:rsidRPr="00BC4EFD">
        <w:rPr>
          <w:b/>
          <w:color w:val="FFC000"/>
        </w:rPr>
        <w:t>dosažení vyváženého toku kulturních statků a služeb a mobility umělc</w:t>
      </w:r>
      <w:r w:rsidRPr="00BC4EFD">
        <w:rPr>
          <w:b/>
          <w:color w:val="FFC000"/>
        </w:rPr>
        <w:t>ů a pracovníků v kultuře na celém světě</w:t>
      </w:r>
      <w:r w:rsidRPr="00BC4EFD">
        <w:t>, což přispěje k provádění cílů udržitelného rozvoje č. 8 a 10.</w:t>
      </w:r>
    </w:p>
    <w:p w:rsidR="00BA0BA8" w:rsidRPr="00BC4EFD" w:rsidRDefault="006B73F8">
      <w:pPr>
        <w:jc w:val="both"/>
      </w:pPr>
      <w:r w:rsidRPr="00BC4EFD">
        <w:t>Jak již bylo uvedeno v roce 2015,</w:t>
      </w:r>
      <w:r w:rsidRPr="00BC4EFD">
        <w:rPr>
          <w:b/>
          <w:i/>
          <w:color w:val="FFC000"/>
        </w:rPr>
        <w:t xml:space="preserve"> mobilita umělců a jiných pracovníků v kultuře</w:t>
      </w:r>
      <w:r w:rsidRPr="00BC4EFD">
        <w:rPr>
          <w:color w:val="FFC000"/>
        </w:rPr>
        <w:t xml:space="preserve"> </w:t>
      </w:r>
      <w:r w:rsidRPr="00BC4EFD">
        <w:t>má stěžejní význam pro zachování různorodého světa myšlenek, hodnot a svě</w:t>
      </w:r>
      <w:r w:rsidRPr="00BC4EFD">
        <w:t>tonázorů, ale také pro podporu kulturního a tvůrčího odvětví pulzujícího životem. V páté kapitola se analyzuje situace v této oblasti v celosvětovém měřítku. Trh na světovém Severu je sice stále hlavní destinací pro umělce a kulturní pracovníky ze světovéh</w:t>
      </w:r>
      <w:r w:rsidRPr="00BC4EFD">
        <w:t xml:space="preserve">o Jihu, přístup k těmto destinacím je však s ohledem na současnou bezpečnostní situaci stále složitější. </w:t>
      </w:r>
      <w:r w:rsidR="00D4555F" w:rsidRPr="00BC4EFD">
        <w:t>Vízová o</w:t>
      </w:r>
      <w:r w:rsidRPr="00BC4EFD">
        <w:t xml:space="preserve">patření </w:t>
      </w:r>
      <w:r w:rsidRPr="00BC4EFD">
        <w:t xml:space="preserve">i nadále ohrožují úsilí kulturních institucí a občanské společnosti bojovat proti přetrvávajícím nerovnostem v oblasti mobility </w:t>
      </w:r>
      <w:r w:rsidRPr="00BC4EFD">
        <w:t>mezi světovým Severem a světovým Jihem. Omezení svobody pohybu a mobility umělců se používá jako nástroj represe a cenzury. Počet příležitostí v oblasti mobility poskytovaných prostřednictvím přístupu na trh a nadnárodní kulturní spolupráce se zvýšil a zno</w:t>
      </w:r>
      <w:r w:rsidRPr="00BC4EFD">
        <w:t>vu se obnovil zájem o mobilitu mezi zeměmi světového Jihu. Navzdory nedostatečným institucionálním rámcům a strukturám financování vznikly na světovém Jihu nové regionální sítě, platformy pro výměnu a tvůrčí střediska, a to díky živému a odolnému odvětví n</w:t>
      </w:r>
      <w:r w:rsidRPr="00BC4EFD">
        <w:t>ezávislého umění.</w:t>
      </w:r>
    </w:p>
    <w:p w:rsidR="00BA0BA8" w:rsidRPr="00BC4EFD" w:rsidRDefault="006B73F8">
      <w:pPr>
        <w:jc w:val="both"/>
      </w:pPr>
      <w:r w:rsidRPr="00BC4EFD">
        <w:t xml:space="preserve">V šesté kapitole se analyzují nedávné trendy v oblasti toku </w:t>
      </w:r>
      <w:r w:rsidRPr="00BC4EFD">
        <w:rPr>
          <w:b/>
          <w:i/>
          <w:color w:val="FFC000"/>
        </w:rPr>
        <w:t>kulturních statků a služeb</w:t>
      </w:r>
      <w:r w:rsidRPr="00BC4EFD">
        <w:t>. Autor</w:t>
      </w:r>
      <w:r w:rsidR="00B61381" w:rsidRPr="00BC4EFD">
        <w:t>ka</w:t>
      </w:r>
      <w:r w:rsidRPr="00BC4EFD">
        <w:t xml:space="preserve"> zjistil</w:t>
      </w:r>
      <w:r w:rsidR="00B61381" w:rsidRPr="00BC4EFD">
        <w:t>a</w:t>
      </w:r>
      <w:r w:rsidRPr="00BC4EFD">
        <w:t xml:space="preserve">, že všechny rozvojové země jako celek (včetně Číny a Indie) </w:t>
      </w:r>
      <w:r w:rsidR="00B61381" w:rsidRPr="00BC4EFD">
        <w:t>mají</w:t>
      </w:r>
      <w:r w:rsidRPr="00BC4EFD">
        <w:t xml:space="preserve"> stále vě</w:t>
      </w:r>
      <w:r w:rsidR="00D4555F" w:rsidRPr="00BC4EFD">
        <w:t>tš</w:t>
      </w:r>
      <w:r w:rsidRPr="00BC4EFD">
        <w:t xml:space="preserve">í podíl </w:t>
      </w:r>
      <w:r w:rsidR="00B61381" w:rsidRPr="00BC4EFD">
        <w:t>na</w:t>
      </w:r>
      <w:r w:rsidRPr="00BC4EFD">
        <w:t xml:space="preserve"> toku kulturních statků a v roce 2014 tvořily </w:t>
      </w:r>
      <w:r w:rsidRPr="00BC4EFD">
        <w:t>45 % světového obchodu s kulturními statky oproti 25 % v roce 2005. Bylo dosaženo pokroku. Přesto i nadále ztěžují penetraci trhu na světovém Severu kulturními statky z rozvojových zemí překážky obchodu, malý počet opatření přiznávajících preferenční zachá</w:t>
      </w:r>
      <w:r w:rsidRPr="00BC4EFD">
        <w:t>zení a omezené lidské a finanční kapacity. Platformy umožňující digitální distribuci</w:t>
      </w:r>
      <w:r w:rsidR="00B61381" w:rsidRPr="00BC4EFD">
        <w:t>,</w:t>
      </w:r>
      <w:r w:rsidRPr="00BC4EFD">
        <w:t xml:space="preserve"> sítě pro výměnu a exportní strategie, především v oblasti audiovizuálního odvětví, pomáhají zemím světového Jihu vstoupit na mezinárodní trh s kulturními statky a službami</w:t>
      </w:r>
      <w:r w:rsidRPr="00BC4EFD">
        <w:t xml:space="preserve">. Domácí kvóty jsou účinným opatřením, jak zvýšit vnitrostátní audiovizuální produkci, a v konečném důsledku vedou k nárůstu </w:t>
      </w:r>
      <w:r w:rsidRPr="00BC4EFD">
        <w:t>exportu. V této kapitole se rovněž potvrzuj</w:t>
      </w:r>
      <w:r w:rsidR="00D4555F" w:rsidRPr="00BC4EFD">
        <w:t>e</w:t>
      </w:r>
      <w:r w:rsidRPr="00BC4EFD">
        <w:t xml:space="preserve"> poznatek obsažený v kapitole 3, a sice že nové digitální prostředí naléhavě </w:t>
      </w:r>
      <w:r w:rsidRPr="00BC4EFD">
        <w:t>potřebuje lepší shromažďování údajů o službách v oblasti obchodu s kulturou, které by podpořilo tvorbu politik založených na důkazech a obchodní vyjednávání.</w:t>
      </w:r>
    </w:p>
    <w:p w:rsidR="00BA0BA8" w:rsidRPr="00BC4EFD" w:rsidRDefault="006B73F8">
      <w:pPr>
        <w:jc w:val="both"/>
      </w:pPr>
      <w:r w:rsidRPr="00BC4EFD">
        <w:t>Ochrana a podpora rozmanitosti kulturních projevů musí také spoléhat na vliv úmluvy na jiné meziná</w:t>
      </w:r>
      <w:r w:rsidRPr="00BC4EFD">
        <w:t xml:space="preserve">rodní právní </w:t>
      </w:r>
      <w:r w:rsidRPr="00BC4EFD">
        <w:rPr>
          <w:b/>
          <w:i/>
          <w:color w:val="FFC000"/>
        </w:rPr>
        <w:t>smlouvy a dohody</w:t>
      </w:r>
      <w:r w:rsidRPr="00BC4EFD">
        <w:t xml:space="preserve">, zejména v oblasti obchodu. Tento rozměr je analyzován v sedmé kapitole. Hlavním závěrem je, že ačkoliv dohody o velkých regionálních partnerstvích ponechávají jen málo prostoru na </w:t>
      </w:r>
      <w:r w:rsidR="00D4555F" w:rsidRPr="00BC4EFD">
        <w:t>prosazování</w:t>
      </w:r>
      <w:r w:rsidRPr="00BC4EFD">
        <w:t xml:space="preserve"> úmluvy, zavedly smluvní strany v osmi</w:t>
      </w:r>
      <w:r w:rsidRPr="00BC4EFD">
        <w:t xml:space="preserve"> bilaterálních a regionálních dohodách o volném obchodu, které uzavřely v období od roku 2015 do roku 2017, doložky týkající se kultury či seznamy závazků, v nichž je tato podpora obsažena. I když mezi lety 2015 a 2017 nebyly podepsány žádné nové protokoly</w:t>
      </w:r>
      <w:r w:rsidRPr="00BC4EFD">
        <w:t xml:space="preserve"> o kulturní spolupráci, ustanovení o posílení preferenčního zacházení v odvětví televizního a rozhlasového vysílání a </w:t>
      </w:r>
      <w:r w:rsidR="00B61381" w:rsidRPr="00BC4EFD">
        <w:t xml:space="preserve">v </w:t>
      </w:r>
      <w:r w:rsidRPr="00BC4EFD">
        <w:t xml:space="preserve">audiovizuálním odvětví </w:t>
      </w:r>
      <w:r w:rsidR="00D4555F" w:rsidRPr="00BC4EFD">
        <w:t>se zavá</w:t>
      </w:r>
      <w:r w:rsidRPr="00BC4EFD">
        <w:t>d</w:t>
      </w:r>
      <w:r w:rsidR="00D4555F" w:rsidRPr="00BC4EFD">
        <w:t>í</w:t>
      </w:r>
      <w:r w:rsidRPr="00BC4EFD">
        <w:t xml:space="preserve"> v jiných dohodách o volném obchodu. Strany úmluvy obecně vyjadřovaly výhrady k začlenění audiovizuáln</w:t>
      </w:r>
      <w:r w:rsidRPr="00BC4EFD">
        <w:t>ího odvětví nebo jiných kulturních služeb do svých obchodních závazků. Evropská unie a jiné regionální organizace podnikly významné kroky k tomu, aby řešily otázky spojené s úmluvou, zejména pak ty, které se zaměřují na digitální problémy, udržitelný rozvo</w:t>
      </w:r>
      <w:r w:rsidRPr="00BC4EFD">
        <w:t>j a začlenění kultury do vnitrostátních rámců pro obchod.</w:t>
      </w:r>
    </w:p>
    <w:p w:rsidR="00BA0BA8" w:rsidRPr="00BC4EFD" w:rsidRDefault="006B73F8">
      <w:pPr>
        <w:jc w:val="both"/>
      </w:pPr>
      <w:r w:rsidRPr="00BC4EFD">
        <w:lastRenderedPageBreak/>
        <w:t>Třetím cílem provádění úmluvy stanoveným v roce 2015 bylo dosáhnout pokroku v dlouhodobém problému spočívajícím v </w:t>
      </w:r>
      <w:r w:rsidRPr="00BC4EFD">
        <w:rPr>
          <w:b/>
          <w:color w:val="0070C0"/>
        </w:rPr>
        <w:t>začlenění kulturního rozměru do rámců udržitelného rozvoje</w:t>
      </w:r>
      <w:r w:rsidRPr="00BC4EFD">
        <w:t>, což přispívá k provádění</w:t>
      </w:r>
      <w:r w:rsidRPr="00BC4EFD">
        <w:t xml:space="preserve"> cílů udržitelného rozvoje č. 4, 8 a 17.</w:t>
      </w:r>
    </w:p>
    <w:p w:rsidR="00BA0BA8" w:rsidRPr="00BC4EFD" w:rsidRDefault="006B73F8">
      <w:pPr>
        <w:jc w:val="both"/>
      </w:pPr>
      <w:r w:rsidRPr="00BC4EFD">
        <w:t xml:space="preserve">V osmé kapitole se analyzuje, jaký má provádění úmluvy pozitivní dopad na politiky, plány a programy v oblasti </w:t>
      </w:r>
      <w:r w:rsidRPr="00BC4EFD">
        <w:rPr>
          <w:b/>
          <w:i/>
          <w:color w:val="0070C0"/>
        </w:rPr>
        <w:t>udržitelného rozvoje</w:t>
      </w:r>
      <w:r w:rsidRPr="00BC4EFD">
        <w:t xml:space="preserve">. V zásadě se stále více uznává úloha kultury v rámci udržitelného rozvoje, zejména </w:t>
      </w:r>
      <w:r w:rsidRPr="00BC4EFD">
        <w:t>v rámci Agendy pro udržitelný rozvoj 2030. Přesto paradoxně – ačkoliv jsou kulturní záležitosti zařazeny mezi hlavní oblasti intervence v několika mezinárodních programech udržitelného rozvoje – je podíl rozvojové pomoci vynaložené na kulturu a rekreaci dn</w:t>
      </w:r>
      <w:r w:rsidRPr="00BC4EFD">
        <w:t xml:space="preserve">es nejnižší za posledních více než deset let! Ze 111 smluvních stran, které přijaly národní plán nebo strategii rozvoje, zmiňuje </w:t>
      </w:r>
      <w:r w:rsidR="00923AFE" w:rsidRPr="00BC4EFD">
        <w:t>kulturní rozměr</w:t>
      </w:r>
      <w:r w:rsidR="00923AFE" w:rsidRPr="00BC4EFD">
        <w:t xml:space="preserve"> </w:t>
      </w:r>
      <w:r w:rsidRPr="00BC4EFD">
        <w:t>96 z nich</w:t>
      </w:r>
      <w:r w:rsidRPr="00BC4EFD">
        <w:t xml:space="preserve">. Více než dvě třetiny </w:t>
      </w:r>
      <w:r w:rsidR="00923AFE" w:rsidRPr="00BC4EFD">
        <w:t>těchto zemí</w:t>
      </w:r>
      <w:r w:rsidRPr="00BC4EFD">
        <w:t xml:space="preserve"> se nacházejí na světovém Jihu. </w:t>
      </w:r>
      <w:r w:rsidR="00923AFE" w:rsidRPr="00BC4EFD">
        <w:t>P</w:t>
      </w:r>
      <w:r w:rsidRPr="00BC4EFD">
        <w:t xml:space="preserve">rávě tyto země </w:t>
      </w:r>
      <w:r w:rsidR="00923AFE" w:rsidRPr="00BC4EFD">
        <w:t>chápou</w:t>
      </w:r>
      <w:r w:rsidRPr="00BC4EFD">
        <w:t xml:space="preserve"> kult</w:t>
      </w:r>
      <w:r w:rsidRPr="00BC4EFD">
        <w:t>urní rozměr především jako nástroj, jako hybnou sílu hospodářských nebo sociálních výsledků</w:t>
      </w:r>
      <w:r w:rsidR="00923AFE" w:rsidRPr="00BC4EFD">
        <w:t>,</w:t>
      </w:r>
      <w:r w:rsidRPr="00BC4EFD">
        <w:t xml:space="preserve"> </w:t>
      </w:r>
      <w:r w:rsidR="00923AFE" w:rsidRPr="00BC4EFD">
        <w:t>přesto však</w:t>
      </w:r>
      <w:r w:rsidR="00F032AC" w:rsidRPr="00BC4EFD">
        <w:t xml:space="preserve"> </w:t>
      </w:r>
      <w:r w:rsidRPr="00BC4EFD">
        <w:t>pouze 40 % národních dokumentů zabývajících se plánem rozvoje obsahuje konkrétní výstupy nebo opatření zaměřená na plnění cílů úmluvy. Dalším problémem je, že vše</w:t>
      </w:r>
      <w:r w:rsidRPr="00BC4EFD">
        <w:t>obecně není dosud dostatečně zohledněn dopad samotné kulturní produkce a umělecké činnosti na životní prostředí. Je však důležité poznamenat, že obecní orgány se již v tomto ohledu vydaly novými směry: města po celém světě zkoumají inovativní možnosti, jak</w:t>
      </w:r>
      <w:r w:rsidRPr="00BC4EFD">
        <w:t xml:space="preserve"> podpořit udržitelný rozvoj prostřednictvím kulturního a tvůrčího odvětví.</w:t>
      </w:r>
    </w:p>
    <w:p w:rsidR="00BA0BA8" w:rsidRPr="00BC4EFD" w:rsidRDefault="006B73F8">
      <w:pPr>
        <w:jc w:val="both"/>
      </w:pPr>
      <w:r w:rsidRPr="00BC4EFD">
        <w:t xml:space="preserve">Závěrečný oddíl této zprávy je věnován jedné z hlavních zásad úmluvy, které se v uplynulých letech </w:t>
      </w:r>
      <w:r w:rsidR="009C4916" w:rsidRPr="00BC4EFD">
        <w:t>dostává</w:t>
      </w:r>
      <w:r w:rsidRPr="00BC4EFD">
        <w:t xml:space="preserve"> více pozornosti, konkrétně jde o </w:t>
      </w:r>
      <w:r w:rsidRPr="00BC4EFD">
        <w:rPr>
          <w:b/>
          <w:color w:val="92D050"/>
        </w:rPr>
        <w:t>prosazování lidských práv a základních sv</w:t>
      </w:r>
      <w:r w:rsidRPr="00BC4EFD">
        <w:rPr>
          <w:b/>
          <w:color w:val="92D050"/>
        </w:rPr>
        <w:t>obod</w:t>
      </w:r>
      <w:r w:rsidRPr="00BC4EFD">
        <w:rPr>
          <w:color w:val="92D050"/>
        </w:rPr>
        <w:t xml:space="preserve"> </w:t>
      </w:r>
      <w:r w:rsidRPr="00BC4EFD">
        <w:t>v oblasti projevu, informací a komunikace, což přispívá k provádění cílů udržitelného rozvoje č. 5 a 16.</w:t>
      </w:r>
    </w:p>
    <w:p w:rsidR="00BA0BA8" w:rsidRPr="00BC4EFD" w:rsidRDefault="006B73F8">
      <w:pPr>
        <w:jc w:val="both"/>
      </w:pPr>
      <w:r w:rsidRPr="00BC4EFD">
        <w:t xml:space="preserve">Hlavním rozměrem je zde </w:t>
      </w:r>
      <w:r w:rsidRPr="00BC4EFD">
        <w:rPr>
          <w:b/>
          <w:i/>
          <w:color w:val="92D050"/>
        </w:rPr>
        <w:t>rovnost žen a mužů</w:t>
      </w:r>
      <w:r w:rsidRPr="00BC4EFD">
        <w:t>, protože úmluva jednoznačně vyzývá k přijetí politik a opatření, které podpoří rovnost žen a mužů a kte</w:t>
      </w:r>
      <w:r w:rsidRPr="00BC4EFD">
        <w:t xml:space="preserve">ré uznávají a podporují ženy jako umělkyně a producentky kulturních statků a služeb. Devátá kapitola, která zdůrazňuje sdělení uvedené již v celosvětové zprávě z roku 2015, se zaměřuje na mnohovrstevnaté rozdíly mezi ženami a muži, které přetrvávají téměř </w:t>
      </w:r>
      <w:r w:rsidRPr="00BC4EFD">
        <w:t>ve všech kulturních oblastech a ve většině částí světa.</w:t>
      </w:r>
    </w:p>
    <w:p w:rsidR="00BA0BA8" w:rsidRPr="00BC4EFD" w:rsidRDefault="006B73F8">
      <w:pPr>
        <w:jc w:val="both"/>
      </w:pPr>
      <w:r w:rsidRPr="00BC4EFD">
        <w:t xml:space="preserve">Nejenže jsou ženy </w:t>
      </w:r>
      <w:r w:rsidR="004E259A" w:rsidRPr="00BC4EFD">
        <w:t>velmi</w:t>
      </w:r>
      <w:r w:rsidRPr="00BC4EFD">
        <w:t xml:space="preserve"> nedostatečně zastoupeny mezi pracovníky, zejména v klíčových tvůrčích úlohách a na rozhodovacích pozicích, ale mají také omezenější přístup ke zdrojům a jsou obecn</w:t>
      </w:r>
      <w:r w:rsidR="00EF79C5" w:rsidRPr="00BC4EFD">
        <w:t>ě</w:t>
      </w:r>
      <w:r w:rsidRPr="00BC4EFD">
        <w:t xml:space="preserve"> mnohem hůř</w:t>
      </w:r>
      <w:r w:rsidR="00EF79C5" w:rsidRPr="00BC4EFD">
        <w:t>e odměňovány</w:t>
      </w:r>
      <w:r w:rsidRPr="00BC4EFD">
        <w:t xml:space="preserve"> než muži. Tento rozdíl není všeobecně uznáván, ale je třeba jej vzít na vědomí a bojovat proti němu, má-li být dosaženo skutečné rozmanitosti kulturních projevů. Autor</w:t>
      </w:r>
      <w:r w:rsidR="00946441" w:rsidRPr="00BC4EFD">
        <w:t>ka</w:t>
      </w:r>
      <w:r w:rsidRPr="00BC4EFD">
        <w:t xml:space="preserve"> této kapitoly přesvědčivě argumentuje, že není možné úmluvu náležitě provádět,</w:t>
      </w:r>
      <w:r w:rsidRPr="00BC4EFD">
        <w:t xml:space="preserve"> aniž by byla aktivně podporována rovnost žen a mužů v řadách tvůrců a producentů kulturních projevů, jakož i mezi občany, pokud jde o přístup ke kulturnímu životu a účast na něm. Není třeba zdůrazňovat, že k tomu je zapotřebí zvláštních opatření i (a to j</w:t>
      </w:r>
      <w:r w:rsidRPr="00BC4EFD">
        <w:t xml:space="preserve">e </w:t>
      </w:r>
      <w:r w:rsidR="00EF79C5" w:rsidRPr="00BC4EFD">
        <w:t>stejně</w:t>
      </w:r>
      <w:r w:rsidRPr="00BC4EFD">
        <w:t xml:space="preserve"> důležité) začlenění hlediska rovnosti žen a mužů do všech kulturních politik a opatření. </w:t>
      </w:r>
      <w:r w:rsidR="00EF79C5" w:rsidRPr="00BC4EFD">
        <w:t>Stále citelně chybí systematicky shromažďované údaje rozdělené</w:t>
      </w:r>
      <w:r w:rsidRPr="00BC4EFD">
        <w:t xml:space="preserve"> podle pohlaví na vnitrostátní a celosvětové úrovni a tyto údaje jsou n</w:t>
      </w:r>
      <w:r w:rsidRPr="00BC4EFD">
        <w:t>aléhavě zapotřebí k</w:t>
      </w:r>
      <w:r w:rsidR="00946441" w:rsidRPr="00BC4EFD">
        <w:t> získání přehledu o situaci</w:t>
      </w:r>
      <w:r w:rsidRPr="00BC4EFD">
        <w:t xml:space="preserve">, ke zvýšení povědomí a porozumění, k utváření politik a plánů a k tomu, aby bylo možné monitorovat pokrok v této oblasti. Rozmanitost kulturních projevů bude i nadále nedosažitelná, pokud se ženy nebudou moci účastnit </w:t>
      </w:r>
      <w:r w:rsidRPr="00BC4EFD">
        <w:t>všech oblastí kulturního života jako tvůrci a producenti a jako občané a spotřebitelé.</w:t>
      </w:r>
    </w:p>
    <w:p w:rsidR="00BA0BA8" w:rsidRPr="00BC4EFD" w:rsidRDefault="006B73F8">
      <w:pPr>
        <w:jc w:val="both"/>
      </w:pPr>
      <w:r w:rsidRPr="00BC4EFD">
        <w:t xml:space="preserve">Závěrečná kapitola je zasvěcena </w:t>
      </w:r>
      <w:r w:rsidRPr="00BC4EFD">
        <w:rPr>
          <w:color w:val="92D050"/>
        </w:rPr>
        <w:t>umělecké svobodě</w:t>
      </w:r>
      <w:r w:rsidRPr="00BC4EFD">
        <w:t>, což je nejen podstatou toho, co to znamená být umělec, a tvůrčích činností jako takových, ale též práv všech kulturních</w:t>
      </w:r>
      <w:r w:rsidRPr="00BC4EFD">
        <w:t xml:space="preserve"> producentů a publika. V dnešní době je však tato svoboda vystavena útokům řady faktorů a sil, a to jak ze strany veřejné </w:t>
      </w:r>
      <w:r w:rsidRPr="00BC4EFD">
        <w:lastRenderedPageBreak/>
        <w:t>správy, tak z jiných stran. V</w:t>
      </w:r>
      <w:r w:rsidR="00A01300" w:rsidRPr="00BC4EFD">
        <w:t xml:space="preserve"> této </w:t>
      </w:r>
      <w:r w:rsidRPr="00BC4EFD">
        <w:t>kapitole se uvádí, že útoky na uměleckou svobodu, k nimž došlo v roce 2016 a jichž se dopustily státní i</w:t>
      </w:r>
      <w:r w:rsidRPr="00BC4EFD">
        <w:t xml:space="preserve"> nestátní subjekty zejména proti hudebníkům, vykázaly ve srovnání s roky 2014 a 2015 významný nárůst. Přesto bylo dosaženo pokroku v chápání významu umělecké svobody, pokud jde o účinnou ochranu a podporu uměleckého projevu jako takového. Některé státy uči</w:t>
      </w:r>
      <w:r w:rsidRPr="00BC4EFD">
        <w:t>nily závazky a zavedly legislativní změny</w:t>
      </w:r>
      <w:r w:rsidR="00A01300" w:rsidRPr="00BC4EFD">
        <w:t xml:space="preserve"> </w:t>
      </w:r>
      <w:r w:rsidRPr="00BC4EFD">
        <w:t>k</w:t>
      </w:r>
      <w:r w:rsidR="00A01300" w:rsidRPr="00BC4EFD">
        <w:t xml:space="preserve"> zajištění</w:t>
      </w:r>
      <w:r w:rsidRPr="00BC4EFD">
        <w:t xml:space="preserve"> respektování této základní svobody. V této kapitole </w:t>
      </w:r>
      <w:r w:rsidR="00A01300" w:rsidRPr="00BC4EFD">
        <w:t>dospívá autor</w:t>
      </w:r>
      <w:r w:rsidR="00D14C09" w:rsidRPr="00BC4EFD">
        <w:t>ka</w:t>
      </w:r>
      <w:r w:rsidR="00A01300" w:rsidRPr="00BC4EFD">
        <w:t xml:space="preserve"> </w:t>
      </w:r>
      <w:r w:rsidRPr="00BC4EFD">
        <w:t xml:space="preserve">k závěru, že opatření na podporu hospodářských a sociálních práv umělců se </w:t>
      </w:r>
      <w:r w:rsidR="00A01300" w:rsidRPr="00BC4EFD">
        <w:t xml:space="preserve">sice </w:t>
      </w:r>
      <w:r w:rsidRPr="00BC4EFD">
        <w:t xml:space="preserve">stále častěji objevují ve vnitrostátních právních </w:t>
      </w:r>
      <w:r w:rsidR="00A01300" w:rsidRPr="00BC4EFD">
        <w:t>řádech</w:t>
      </w:r>
      <w:r w:rsidRPr="00BC4EFD">
        <w:t xml:space="preserve">, zejména v Africe, avšak současně se k omezení umělecké svobody a jiných forem svobody projevu používají předpisy </w:t>
      </w:r>
      <w:r w:rsidR="00A01300" w:rsidRPr="00BC4EFD">
        <w:t>zaměřené na</w:t>
      </w:r>
      <w:r w:rsidRPr="00BC4EFD">
        <w:t xml:space="preserve"> terorismu</w:t>
      </w:r>
      <w:r w:rsidR="00A01300" w:rsidRPr="00BC4EFD">
        <w:t>s a státní bezpečnost</w:t>
      </w:r>
      <w:r w:rsidRPr="00BC4EFD">
        <w:t>, p</w:t>
      </w:r>
      <w:r w:rsidR="00A01300" w:rsidRPr="00BC4EFD">
        <w:t>omluv</w:t>
      </w:r>
      <w:r w:rsidR="00D466AA" w:rsidRPr="00BC4EFD">
        <w:t>u</w:t>
      </w:r>
      <w:r w:rsidR="00A01300" w:rsidRPr="00BC4EFD">
        <w:t>, náboženství a „tradiční</w:t>
      </w:r>
      <w:r w:rsidRPr="00BC4EFD">
        <w:t xml:space="preserve"> hodnot</w:t>
      </w:r>
      <w:r w:rsidR="00A01300" w:rsidRPr="00BC4EFD">
        <w:t>y</w:t>
      </w:r>
      <w:r w:rsidRPr="00BC4EFD">
        <w:t xml:space="preserve">“. Zvýšilo se monitorování a hájení svobody umění, </w:t>
      </w:r>
      <w:r w:rsidR="00A01300" w:rsidRPr="00BC4EFD">
        <w:t>ale také</w:t>
      </w:r>
      <w:r w:rsidRPr="00BC4EFD">
        <w:t xml:space="preserve"> počet a kapacita organizací, které se do této činnosti zapojují, a to i v rámci Organizace spojených národů. I v této oblasti se města chápou iniciativy a nabízejí bezpečné útočiště ohroženým umělcům: počet takovýchto zařízení po celém světě pak </w:t>
      </w:r>
      <w:r w:rsidRPr="00BC4EFD">
        <w:t>vzrostl na více než 80.</w:t>
      </w:r>
    </w:p>
    <w:p w:rsidR="00BA0BA8" w:rsidRPr="00BC4EFD" w:rsidRDefault="006B73F8">
      <w:pPr>
        <w:jc w:val="both"/>
      </w:pPr>
      <w:r w:rsidRPr="00BC4EFD">
        <w:t>Ze zpráv smluvních stran spolu s</w:t>
      </w:r>
      <w:r w:rsidRPr="00BC4EFD">
        <w:t xml:space="preserve"> analýzami shromážděnými v této celosvětové zprávě </w:t>
      </w:r>
      <w:r w:rsidR="00A01300" w:rsidRPr="00BC4EFD">
        <w:t>stále</w:t>
      </w:r>
      <w:r w:rsidRPr="00BC4EFD">
        <w:t xml:space="preserve"> vyplývá, že úmluva obohatila </w:t>
      </w:r>
      <w:r w:rsidR="00A01300" w:rsidRPr="00BC4EFD">
        <w:t>rozmanité způsoby</w:t>
      </w:r>
      <w:r w:rsidRPr="00BC4EFD">
        <w:t xml:space="preserve"> tvorby politik ku prospěchu rozmanitosti kulturních projevů. Rovněž </w:t>
      </w:r>
      <w:r w:rsidRPr="00BC4EFD">
        <w:t xml:space="preserve">z nich </w:t>
      </w:r>
      <w:r w:rsidR="00A01300" w:rsidRPr="00BC4EFD">
        <w:t xml:space="preserve">stále </w:t>
      </w:r>
      <w:r w:rsidRPr="00BC4EFD">
        <w:t>vyplývá, že je jedn</w:t>
      </w:r>
      <w:r w:rsidRPr="00BC4EFD">
        <w:t xml:space="preserve">označně zapotřebí, aby smluvní strany zavedly mechanismy monitorování a hodnocení, které jim umožní </w:t>
      </w:r>
      <w:r w:rsidRPr="00BC4EFD">
        <w:t>komplexněji přispívat k plnění ustanovení úmluvy týkajících se sdílení informací a transp</w:t>
      </w:r>
      <w:bookmarkStart w:id="0" w:name="_GoBack"/>
      <w:bookmarkEnd w:id="0"/>
      <w:r w:rsidRPr="00BC4EFD">
        <w:t xml:space="preserve">arentnosti. </w:t>
      </w:r>
      <w:r w:rsidR="00A01300" w:rsidRPr="00BC4EFD">
        <w:t>Uváděné p</w:t>
      </w:r>
      <w:r w:rsidRPr="00BC4EFD">
        <w:t>okroky a inovace</w:t>
      </w:r>
      <w:r w:rsidRPr="00BC4EFD">
        <w:t xml:space="preserve"> jsou slibné, </w:t>
      </w:r>
      <w:r w:rsidR="00D466AA" w:rsidRPr="00BC4EFD">
        <w:t xml:space="preserve">a to </w:t>
      </w:r>
      <w:r w:rsidRPr="00BC4EFD">
        <w:t>zej</w:t>
      </w:r>
      <w:r w:rsidRPr="00BC4EFD">
        <w:t xml:space="preserve">ména proto, že přispívají k prvnímu penzu poznatků </w:t>
      </w:r>
      <w:r w:rsidR="00D466AA" w:rsidRPr="00BC4EFD">
        <w:t xml:space="preserve">týkajících se </w:t>
      </w:r>
      <w:r w:rsidRPr="00BC4EFD">
        <w:t>provádění úmluvy</w:t>
      </w:r>
      <w:r w:rsidR="00D466AA" w:rsidRPr="00BC4EFD">
        <w:t xml:space="preserve">, přičemž tyto poznatky pak mohou </w:t>
      </w:r>
      <w:r w:rsidRPr="00BC4EFD">
        <w:t>současně formovat provádění cílů udržitelného rozvoje. Nejsou však ani zdaleka dostatečné. Společně mohou hlavní ukazatele úmluvy a seznam dílčích cílů v rámci cílů udržitel</w:t>
      </w:r>
      <w:r w:rsidRPr="00BC4EFD">
        <w:t xml:space="preserve">ného rozvoje zajistit důkazy, které budou formovat celosvětové závazky a sdílené </w:t>
      </w:r>
      <w:r w:rsidR="00E0686A" w:rsidRPr="00BC4EFD">
        <w:t>chápání</w:t>
      </w:r>
      <w:r w:rsidR="00B17D4B" w:rsidRPr="00BC4EFD">
        <w:t xml:space="preserve"> toho</w:t>
      </w:r>
      <w:r w:rsidRPr="00BC4EFD">
        <w:t xml:space="preserve">, jak </w:t>
      </w:r>
      <w:r w:rsidR="00A01300" w:rsidRPr="00BC4EFD">
        <w:t xml:space="preserve">se </w:t>
      </w:r>
      <w:r w:rsidRPr="00BC4EFD">
        <w:t>podpora rozmanitosti kulturních projevů a investice do tvůrčích</w:t>
      </w:r>
      <w:r w:rsidRPr="00BC4EFD">
        <w:t xml:space="preserve"> činností </w:t>
      </w:r>
      <w:r w:rsidR="00A01300" w:rsidRPr="00BC4EFD">
        <w:t>může promítnout do výsledků</w:t>
      </w:r>
      <w:r w:rsidRPr="00BC4EFD">
        <w:t xml:space="preserve"> v oblasti udržitelného rozvoje.</w:t>
      </w:r>
    </w:p>
    <w:p w:rsidR="00BA0BA8" w:rsidRPr="00BC4EFD" w:rsidRDefault="006B73F8">
      <w:pPr>
        <w:jc w:val="both"/>
      </w:pPr>
      <w:r w:rsidRPr="00BC4EFD">
        <w:t>Pokud budou v nadcházejícíc</w:t>
      </w:r>
      <w:r w:rsidRPr="00BC4EFD">
        <w:t>h letech smluvní strany schopny splnit požadavky stanovené v této celosvětové zprávě – a jestliže ne zcela, pak alespoň ve významné míře –, nevyhnutelně nastane proces, který povede ke splnění dlouhodob</w:t>
      </w:r>
      <w:r w:rsidR="00A01300" w:rsidRPr="00BC4EFD">
        <w:t xml:space="preserve">ého příslibu úmluvy z roku 2005, </w:t>
      </w:r>
      <w:r w:rsidRPr="00BC4EFD">
        <w:t>jímž je skutečně „př</w:t>
      </w:r>
      <w:r w:rsidRPr="00BC4EFD">
        <w:t xml:space="preserve">etvořit“ </w:t>
      </w:r>
      <w:r w:rsidR="00D466AA" w:rsidRPr="00BC4EFD">
        <w:t>koncipování</w:t>
      </w:r>
      <w:r w:rsidRPr="00BC4EFD">
        <w:t xml:space="preserve"> kulturních politik na celém světě.</w:t>
      </w:r>
    </w:p>
    <w:p w:rsidR="00BA0BA8" w:rsidRPr="00BC4EFD" w:rsidRDefault="00BA0BA8">
      <w:pPr>
        <w:jc w:val="both"/>
      </w:pPr>
    </w:p>
    <w:sectPr w:rsidR="00BA0BA8" w:rsidRPr="00BC4EF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F8" w:rsidRDefault="006B73F8">
      <w:pPr>
        <w:spacing w:after="0" w:line="240" w:lineRule="auto"/>
      </w:pPr>
      <w:r>
        <w:separator/>
      </w:r>
    </w:p>
  </w:endnote>
  <w:endnote w:type="continuationSeparator" w:id="0">
    <w:p w:rsidR="006B73F8" w:rsidRDefault="006B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A8" w:rsidRDefault="006B73F8">
    <w:pPr>
      <w:pStyle w:val="Zpat"/>
    </w:pPr>
    <w:r>
      <w:t>Shrnutí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A8" w:rsidRDefault="006B73F8">
    <w:pPr>
      <w:pStyle w:val="Zpat"/>
    </w:pPr>
    <w:r>
      <w:t>Shrnutí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F8" w:rsidRDefault="006B73F8">
      <w:pPr>
        <w:spacing w:after="0" w:line="240" w:lineRule="auto"/>
      </w:pPr>
      <w:r>
        <w:separator/>
      </w:r>
    </w:p>
  </w:footnote>
  <w:footnote w:type="continuationSeparator" w:id="0">
    <w:p w:rsidR="006B73F8" w:rsidRDefault="006B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A8" w:rsidRDefault="006B73F8">
    <w:pPr>
      <w:pStyle w:val="Zhlav"/>
    </w:pPr>
    <w:r>
      <w:t xml:space="preserve">Celosvětová zpráva </w:t>
    </w:r>
    <w:r>
      <w:br/>
      <w:t>podle úmluvy z roku 2005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A8"/>
    <w:rsid w:val="004E259A"/>
    <w:rsid w:val="006B73F8"/>
    <w:rsid w:val="00923AFE"/>
    <w:rsid w:val="00946441"/>
    <w:rsid w:val="009C4916"/>
    <w:rsid w:val="00A01300"/>
    <w:rsid w:val="00A95C76"/>
    <w:rsid w:val="00AD3C51"/>
    <w:rsid w:val="00B17D4B"/>
    <w:rsid w:val="00B61381"/>
    <w:rsid w:val="00BA0BA8"/>
    <w:rsid w:val="00BC4EFD"/>
    <w:rsid w:val="00D14C09"/>
    <w:rsid w:val="00D4555F"/>
    <w:rsid w:val="00D466AA"/>
    <w:rsid w:val="00D61A1C"/>
    <w:rsid w:val="00E0686A"/>
    <w:rsid w:val="00EF79C5"/>
    <w:rsid w:val="00F032AC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00405"/>
  </w:style>
  <w:style w:type="character" w:customStyle="1" w:styleId="ZpatChar">
    <w:name w:val="Zápatí Char"/>
    <w:basedOn w:val="Standardnpsmoodstavce"/>
    <w:link w:val="Zpat"/>
    <w:uiPriority w:val="99"/>
    <w:qFormat/>
    <w:rsid w:val="00D00405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D0040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00405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00405"/>
  </w:style>
  <w:style w:type="character" w:customStyle="1" w:styleId="ZpatChar">
    <w:name w:val="Zápatí Char"/>
    <w:basedOn w:val="Standardnpsmoodstavce"/>
    <w:link w:val="Zpat"/>
    <w:uiPriority w:val="99"/>
    <w:qFormat/>
    <w:rsid w:val="00D00405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D0040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0040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2458</Words>
  <Characters>14503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Sedláček</dc:creator>
  <dc:description/>
  <cp:lastModifiedBy>Mirek</cp:lastModifiedBy>
  <cp:revision>34</cp:revision>
  <dcterms:created xsi:type="dcterms:W3CDTF">2019-02-07T07:41:00Z</dcterms:created>
  <dcterms:modified xsi:type="dcterms:W3CDTF">2019-02-10T22:07:00Z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