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F" w:rsidRPr="004C5E8D" w:rsidRDefault="00F12DAF" w:rsidP="00F10A78">
      <w:pPr>
        <w:pStyle w:val="Nadpis2"/>
        <w:widowControl w:val="0"/>
        <w:autoSpaceDE w:val="0"/>
        <w:spacing w:line="240" w:lineRule="auto"/>
        <w:ind w:left="709" w:right="0"/>
        <w:jc w:val="both"/>
        <w:rPr>
          <w:b/>
        </w:rPr>
      </w:pPr>
      <w:bookmarkStart w:id="0" w:name="_Toc401063811"/>
      <w:bookmarkStart w:id="1" w:name="_Toc401223710"/>
      <w:bookmarkStart w:id="2" w:name="_GoBack"/>
      <w:bookmarkEnd w:id="2"/>
      <w:r w:rsidRPr="004C5E8D">
        <w:rPr>
          <w:b/>
        </w:rPr>
        <w:t xml:space="preserve">Rozsudek Nejvyššího správního soudu </w:t>
      </w:r>
      <w:proofErr w:type="spellStart"/>
      <w:r w:rsidRPr="004C5E8D">
        <w:rPr>
          <w:b/>
        </w:rPr>
        <w:t>sp</w:t>
      </w:r>
      <w:proofErr w:type="spellEnd"/>
      <w:r>
        <w:rPr>
          <w:b/>
        </w:rPr>
        <w:t xml:space="preserve">. </w:t>
      </w:r>
      <w:r w:rsidRPr="004C5E8D">
        <w:rPr>
          <w:b/>
        </w:rPr>
        <w:t>zn</w:t>
      </w:r>
      <w:r>
        <w:rPr>
          <w:b/>
        </w:rPr>
        <w:t xml:space="preserve">. </w:t>
      </w:r>
      <w:r w:rsidRPr="004C5E8D">
        <w:rPr>
          <w:b/>
        </w:rPr>
        <w:t>8 As 63/2012 – 37 z 6</w:t>
      </w:r>
      <w:r>
        <w:rPr>
          <w:b/>
        </w:rPr>
        <w:t xml:space="preserve">. </w:t>
      </w:r>
      <w:r w:rsidRPr="004C5E8D">
        <w:rPr>
          <w:b/>
        </w:rPr>
        <w:t>8</w:t>
      </w:r>
      <w:r>
        <w:rPr>
          <w:b/>
        </w:rPr>
        <w:t xml:space="preserve">. </w:t>
      </w:r>
      <w:r w:rsidRPr="004C5E8D">
        <w:rPr>
          <w:b/>
        </w:rPr>
        <w:t>2013 (B104)</w:t>
      </w:r>
      <w:bookmarkEnd w:id="0"/>
      <w:bookmarkEnd w:id="1"/>
    </w:p>
    <w:p w:rsidR="00F12DAF" w:rsidRPr="008D440C" w:rsidRDefault="00F12DAF" w:rsidP="00F12DAF">
      <w:pPr>
        <w:tabs>
          <w:tab w:val="left" w:pos="0"/>
        </w:tabs>
        <w:jc w:val="both"/>
      </w:pPr>
      <w:r w:rsidRPr="008D440C">
        <w:tab/>
        <w:t>Zákon o památkové péči pojem „zařízení“ nedefinuje a nečiní tak ani prováděcí předpisy k němu</w:t>
      </w:r>
      <w:r>
        <w:t xml:space="preserve">. </w:t>
      </w:r>
      <w:r w:rsidRPr="008D440C">
        <w:t>Bez legislativně řádné definice jsou však příslušná ustanovení zákona, v</w:t>
      </w:r>
      <w:r>
        <w:t> </w:t>
      </w:r>
      <w:r w:rsidRPr="008D440C">
        <w:t>prvé řadě sankční, obtížně aplikovatelná</w:t>
      </w:r>
      <w:r>
        <w:t xml:space="preserve">. </w:t>
      </w:r>
      <w:r w:rsidRPr="008D440C">
        <w:t>… Dalo by se pak uvažovat i nad tím, zda dětský obrázek pověšený na okně či vlajka umístěná v okně či na budově je „zařízením“ či ne</w:t>
      </w:r>
      <w:r>
        <w:t xml:space="preserve">. </w:t>
      </w:r>
      <w:r w:rsidRPr="008D440C">
        <w:t>… Pokud by správní orgány takto postihovaly i výměnu těchto různých „zařízení“, došlo by nejen k zákonem zřejmě nepředvídané zátěži samotných správních orgánů, ale i nepřiměřené a zákonem nepředvídané zátěži jednotlivců</w:t>
      </w:r>
      <w:r>
        <w:t xml:space="preserve">. </w:t>
      </w:r>
      <w:r w:rsidRPr="008D440C">
        <w:t>Ve všech případech by pak orgány státní památkové péče narážely na naprostou právní nejistotu ohledně toho, co je postižitelné jako správní delikt a co nikoliv</w:t>
      </w:r>
      <w:r>
        <w:t xml:space="preserve">. </w:t>
      </w:r>
      <w:r w:rsidRPr="008D440C">
        <w:t>Taková situace je však v právním státě vyloučena</w:t>
      </w:r>
      <w:r>
        <w:t xml:space="preserve">. </w:t>
      </w:r>
    </w:p>
    <w:p w:rsidR="00F12DAF" w:rsidRPr="008D440C" w:rsidRDefault="00F12DAF" w:rsidP="00F12DAF">
      <w:pPr>
        <w:tabs>
          <w:tab w:val="left" w:pos="0"/>
        </w:tabs>
        <w:jc w:val="both"/>
      </w:pPr>
      <w:r w:rsidRPr="008D440C">
        <w:tab/>
        <w:t>Z uvedených důvodů tak Nejvyšší správní soud uzavírá, že je třeba pojem „zařízení“ obsažený v zákoně o památkové péči, dokud tento zákon nebo jeho prováděcí předpisy vlastní definici pojmu neobsahují, vykládat ve shodě s definicí obsaženou v § 3 odst</w:t>
      </w:r>
      <w:r>
        <w:t xml:space="preserve">. </w:t>
      </w:r>
      <w:r w:rsidRPr="008D440C">
        <w:t>2 stavebního zákona (zařízením se pro účely stavebního zákona rozumí informační a reklamní panel, tabule, deska či jiná konstrukce a technické zařízení, pokud nejde o stavbu podle § 2 odst</w:t>
      </w:r>
      <w:r>
        <w:t xml:space="preserve">. </w:t>
      </w:r>
      <w:r w:rsidRPr="008D440C">
        <w:t>3; v</w:t>
      </w:r>
      <w:r>
        <w:t> </w:t>
      </w:r>
      <w:r w:rsidRPr="008D440C">
        <w:t xml:space="preserve">pochybnostech, zda se jedná o stavbu nebo zařízení, je určující stanovisko stavebního úřadu; zařízení o celkové ploše větší než </w:t>
      </w:r>
      <w:smartTag w:uri="urn:schemas-microsoft-com:office:smarttags" w:element="metricconverter">
        <w:smartTagPr>
          <w:attr w:name="ProductID" w:val="8 m2"/>
        </w:smartTagPr>
        <w:r w:rsidRPr="008D440C">
          <w:t>8 m</w:t>
        </w:r>
        <w:r w:rsidRPr="008D440C">
          <w:rPr>
            <w:vertAlign w:val="superscript"/>
          </w:rPr>
          <w:t>2</w:t>
        </w:r>
      </w:smartTag>
      <w:r w:rsidRPr="008D440C">
        <w:t xml:space="preserve"> se považuje za stavbu pro reklamu</w:t>
      </w:r>
      <w:r>
        <w:t>.)</w:t>
      </w:r>
    </w:p>
    <w:p w:rsidR="00F12DAF" w:rsidRPr="008D440C" w:rsidRDefault="00F12DAF" w:rsidP="00F12DAF">
      <w:pPr>
        <w:tabs>
          <w:tab w:val="left" w:pos="0"/>
        </w:tabs>
        <w:jc w:val="both"/>
      </w:pPr>
      <w:r w:rsidRPr="008D440C">
        <w:tab/>
        <w:t>Konečně čl</w:t>
      </w:r>
      <w:r>
        <w:t xml:space="preserve">. </w:t>
      </w:r>
      <w:r w:rsidRPr="008D440C">
        <w:t>4 Úmluvy o ochraně architektonického dědictví Evropy</w:t>
      </w:r>
      <w:r>
        <w:t xml:space="preserve">. </w:t>
      </w:r>
      <w:r w:rsidRPr="008D440C">
        <w:t>Pokud pak druhý bod tohoto článku hovoří o předcházení „znetvoření, zchátrání nebo demolici“ chráněných statků, je tento soud toho názoru, že vyvěšování reklamních plachet nezpůsobuje žádný z</w:t>
      </w:r>
      <w:r>
        <w:t> </w:t>
      </w:r>
      <w:r w:rsidRPr="008D440C">
        <w:t>těchto následků</w:t>
      </w:r>
      <w:r>
        <w:t xml:space="preserve">. </w:t>
      </w:r>
      <w:r w:rsidRPr="008D440C">
        <w:t>Zchátrání nemovitosti či její demolici vyvěšení reklamní plachty nezpůsobí</w:t>
      </w:r>
      <w:r>
        <w:t xml:space="preserve">. </w:t>
      </w:r>
      <w:r w:rsidRPr="008D440C">
        <w:t>Aby tedy vzhledem k etymologii slova došlo ke znetvoření, muselo by docházet ke změně vnějšího tvaru budovy</w:t>
      </w:r>
      <w:r>
        <w:t xml:space="preserve">. </w:t>
      </w:r>
      <w:r w:rsidRPr="008D440C">
        <w:t>I o znetvoření člověka hovoříme tehdy, došlo-li k (trvalému) poškození jeho vzhledu, např</w:t>
      </w:r>
      <w:r>
        <w:t xml:space="preserve">. </w:t>
      </w:r>
      <w:r w:rsidRPr="008D440C">
        <w:t>částí jeho těla nebo obličeje, a nikoli tehdy, pokud je jen neslušivě oblečen</w:t>
      </w:r>
      <w:r>
        <w:t xml:space="preserve">. </w:t>
      </w:r>
      <w:r w:rsidRPr="008D440C">
        <w:t>Tuto úvahu pak nepřímo potvrzuje Úmluva samotná, když v čl</w:t>
      </w:r>
      <w:r>
        <w:t xml:space="preserve">. </w:t>
      </w:r>
      <w:r w:rsidRPr="008D440C">
        <w:t xml:space="preserve">4 bodu 2 pod písmenem b) vyžaduje předkládání plánů památkovým úřadům, které obsahují demolici budov, výstavbu nových budov nebo závažné změny, které se dotýkají charakteru architektonického souboru nebo místa (v originálech </w:t>
      </w:r>
      <w:proofErr w:type="spellStart"/>
      <w:r w:rsidRPr="008D440C">
        <w:t>substantial</w:t>
      </w:r>
      <w:proofErr w:type="spellEnd"/>
      <w:r w:rsidRPr="008D440C">
        <w:t xml:space="preserve"> </w:t>
      </w:r>
      <w:proofErr w:type="spellStart"/>
      <w:r w:rsidRPr="008D440C">
        <w:t>alterations</w:t>
      </w:r>
      <w:proofErr w:type="spellEnd"/>
      <w:r w:rsidRPr="008D440C">
        <w:t xml:space="preserve">, </w:t>
      </w:r>
      <w:proofErr w:type="spellStart"/>
      <w:r w:rsidRPr="008D440C">
        <w:t>modifications</w:t>
      </w:r>
      <w:proofErr w:type="spellEnd"/>
      <w:r w:rsidRPr="008D440C">
        <w:t xml:space="preserve"> </w:t>
      </w:r>
      <w:proofErr w:type="spellStart"/>
      <w:r w:rsidRPr="008D440C">
        <w:t>importantes</w:t>
      </w:r>
      <w:proofErr w:type="spellEnd"/>
      <w:r w:rsidRPr="008D440C">
        <w:t xml:space="preserve">, ve Vysvětlující zprávě k Úmluvě pak major </w:t>
      </w:r>
      <w:proofErr w:type="spellStart"/>
      <w:r w:rsidRPr="008D440C">
        <w:t>alterations</w:t>
      </w:r>
      <w:proofErr w:type="spellEnd"/>
      <w:r w:rsidRPr="008D440C">
        <w:t>)</w:t>
      </w:r>
      <w:r>
        <w:t xml:space="preserve">. </w:t>
      </w:r>
      <w:r w:rsidRPr="008D440C">
        <w:t>Jakkoli tedy vyvěšení reklamní plachty v památkové zóně může vést k nevzhlednosti budovy, nelze jej označit za závažnou změnu na budově samotné ve výše vyloženém smyslu</w:t>
      </w:r>
      <w:r>
        <w:t xml:space="preserve">. </w:t>
      </w:r>
    </w:p>
    <w:p w:rsidR="00BF759B" w:rsidRPr="00F12DAF" w:rsidRDefault="00BF759B" w:rsidP="00F12DAF"/>
    <w:sectPr w:rsidR="00BF759B" w:rsidRPr="00F1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304225"/>
    <w:rsid w:val="006C753D"/>
    <w:rsid w:val="00B775D5"/>
    <w:rsid w:val="00BF759B"/>
    <w:rsid w:val="00EA58BB"/>
    <w:rsid w:val="00F10A78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3</cp:revision>
  <dcterms:created xsi:type="dcterms:W3CDTF">2017-05-04T08:51:00Z</dcterms:created>
  <dcterms:modified xsi:type="dcterms:W3CDTF">2017-05-04T08:57:00Z</dcterms:modified>
</cp:coreProperties>
</file>