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07" w:rsidRPr="000C1A9F" w:rsidRDefault="004D6207" w:rsidP="004D6207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57"/>
      <w:bookmarkStart w:id="1" w:name="_Toc401223756"/>
      <w:bookmarkStart w:id="2" w:name="_GoBack"/>
      <w:bookmarkEnd w:id="2"/>
      <w:r w:rsidRPr="000C1A9F">
        <w:rPr>
          <w:b/>
        </w:rPr>
        <w:t xml:space="preserve">Rozsudek Nejvyššího správního soudu </w:t>
      </w:r>
      <w:proofErr w:type="spellStart"/>
      <w:r w:rsidRPr="000C1A9F">
        <w:rPr>
          <w:b/>
        </w:rPr>
        <w:t>sp</w:t>
      </w:r>
      <w:proofErr w:type="spellEnd"/>
      <w:r>
        <w:rPr>
          <w:b/>
        </w:rPr>
        <w:t xml:space="preserve">. </w:t>
      </w:r>
      <w:r w:rsidRPr="000C1A9F">
        <w:rPr>
          <w:b/>
        </w:rPr>
        <w:t>zn</w:t>
      </w:r>
      <w:r>
        <w:rPr>
          <w:b/>
        </w:rPr>
        <w:t xml:space="preserve">. </w:t>
      </w:r>
      <w:r w:rsidRPr="000C1A9F">
        <w:rPr>
          <w:b/>
        </w:rPr>
        <w:t>7 As 188/2012 - 25 z 13</w:t>
      </w:r>
      <w:r>
        <w:rPr>
          <w:b/>
        </w:rPr>
        <w:t xml:space="preserve">. </w:t>
      </w:r>
      <w:r w:rsidRPr="000C1A9F">
        <w:rPr>
          <w:b/>
        </w:rPr>
        <w:t>3</w:t>
      </w:r>
      <w:r>
        <w:rPr>
          <w:b/>
        </w:rPr>
        <w:t xml:space="preserve">. </w:t>
      </w:r>
      <w:r w:rsidRPr="000C1A9F">
        <w:rPr>
          <w:b/>
        </w:rPr>
        <w:t>2013 (B096)</w:t>
      </w:r>
      <w:bookmarkEnd w:id="0"/>
      <w:bookmarkEnd w:id="1"/>
    </w:p>
    <w:p w:rsidR="004D6207" w:rsidRPr="008D440C" w:rsidRDefault="004D6207" w:rsidP="004D6207">
      <w:pPr>
        <w:autoSpaceDE w:val="0"/>
        <w:autoSpaceDN w:val="0"/>
        <w:adjustRightInd w:val="0"/>
        <w:ind w:firstLine="540"/>
        <w:jc w:val="both"/>
      </w:pPr>
      <w:r w:rsidRPr="008D440C">
        <w:t>Pokuta ve výši 300</w:t>
      </w:r>
      <w:r>
        <w:t> </w:t>
      </w:r>
      <w:r w:rsidRPr="008D440C">
        <w:t xml:space="preserve">000 Kč se pohybuje v mezích zákonného rozpětí pro uložení pokuty podle </w:t>
      </w:r>
      <w:proofErr w:type="spellStart"/>
      <w:r w:rsidRPr="008D440C">
        <w:t>ust</w:t>
      </w:r>
      <w:proofErr w:type="spellEnd"/>
      <w:r>
        <w:t xml:space="preserve">. </w:t>
      </w:r>
      <w:r w:rsidRPr="008D440C">
        <w:t>§ 39 odst</w:t>
      </w:r>
      <w:r>
        <w:t xml:space="preserve">. </w:t>
      </w:r>
      <w:r w:rsidRPr="008D440C">
        <w:t>1 zákona o památkové péči, které je od 0 do 2</w:t>
      </w:r>
      <w:r>
        <w:t> </w:t>
      </w:r>
      <w:r w:rsidRPr="008D440C">
        <w:t>000</w:t>
      </w:r>
      <w:r>
        <w:t> </w:t>
      </w:r>
      <w:r w:rsidRPr="008D440C">
        <w:t>000 Kč</w:t>
      </w:r>
      <w:r>
        <w:t xml:space="preserve">. </w:t>
      </w:r>
      <w:r w:rsidRPr="008D440C">
        <w:t>Sankce uložená stěžovatelce se je navíc na úrovni patnácti procent zákonného rozpětí, tedy zhruba v</w:t>
      </w:r>
      <w:r>
        <w:t> </w:t>
      </w:r>
      <w:r w:rsidRPr="008D440C">
        <w:t>jeho jedné šestině</w:t>
      </w:r>
      <w:r>
        <w:t xml:space="preserve">. </w:t>
      </w:r>
    </w:p>
    <w:p w:rsidR="004D6207" w:rsidRPr="008D440C" w:rsidRDefault="004D6207" w:rsidP="004D6207">
      <w:pPr>
        <w:autoSpaceDE w:val="0"/>
        <w:autoSpaceDN w:val="0"/>
        <w:adjustRightInd w:val="0"/>
        <w:ind w:firstLine="540"/>
        <w:jc w:val="both"/>
      </w:pPr>
      <w:r w:rsidRPr="008D440C">
        <w:t>Ve shodě s nimi i s krajským soudem má Nejvyšší správní soud za to, že jednáním stěžovatelky došlo k odstranění původní stavby a jejímu nahrazení novostavbou, jež pouze v základních vizuálních parametrech připomíná původní stavbu</w:t>
      </w:r>
      <w:r>
        <w:t xml:space="preserve">. </w:t>
      </w:r>
      <w:r w:rsidRPr="008D440C">
        <w:t>Následkem jednání stěžovatelky, který je velmi závažný a ve své podstatě nenapravitelný, došlo k velmi závažnému poškození zákonem chráněného zájmu na ochraně a zachování památkově chráněného stavebního díla</w:t>
      </w:r>
      <w:r>
        <w:t xml:space="preserve">. </w:t>
      </w:r>
      <w:r w:rsidRPr="008D440C">
        <w:t>Na druhé straně je nutno vzít v úvahu, že jakkoli došlo ke zničení památkově chráněné nemovitosti, nešlo o nemovitost významnou, nýbrž o jednotlivý exemplář běžné roubené chalupy … v lokalitě souboru lidových staveb</w:t>
      </w:r>
      <w:r>
        <w:t xml:space="preserve">. </w:t>
      </w:r>
      <w:r w:rsidRPr="008D440C">
        <w:t>… Správní orgány tedy zvolily adekvátní výši pokuty při dolní hranici její sazby</w:t>
      </w:r>
      <w:r>
        <w:t xml:space="preserve">. </w:t>
      </w:r>
      <w:r w:rsidRPr="008D440C">
        <w:t>Řádově vyšší pokuta by pak měla být udělována jen v případech zničení významně hodnotnější kulturní památky, např</w:t>
      </w:r>
      <w:r>
        <w:t xml:space="preserve">. </w:t>
      </w:r>
      <w:r w:rsidRPr="008D440C">
        <w:t>jedinečné historické dominanty památkově chráněného městského komplexu, než jakou svým jednáním zničila stěžovatelka</w:t>
      </w:r>
      <w:r>
        <w:t xml:space="preserve">. </w:t>
      </w:r>
      <w:r w:rsidRPr="008D440C">
        <w:t>Správní orgány v daném případě vhodně jako jedno z kritérií pro určení výše sankce použily obecnou cenu zničené kulturní památky vztaženou k tomu, do jaké míry byly klíčové stavební prvky památky stavebně upraveny mimo rámec závazného stanoviska, a do jaké míry naopak v jeho rámci</w:t>
      </w:r>
      <w:r>
        <w:t xml:space="preserve">. </w:t>
      </w:r>
    </w:p>
    <w:p w:rsidR="004D6207" w:rsidRPr="008D440C" w:rsidRDefault="004D6207" w:rsidP="004D6207">
      <w:pPr>
        <w:autoSpaceDE w:val="0"/>
        <w:autoSpaceDN w:val="0"/>
        <w:adjustRightInd w:val="0"/>
        <w:ind w:firstLine="540"/>
        <w:jc w:val="both"/>
      </w:pPr>
      <w:r w:rsidRPr="008D440C">
        <w:t>Ani ohledně dalších úvah týkajících se jednání stěžovatelky nelze správním orgánům obou stupňů nic vytknout</w:t>
      </w:r>
      <w:r>
        <w:t xml:space="preserve">. </w:t>
      </w:r>
      <w:r w:rsidRPr="008D440C">
        <w:t>Na jedné straně vzaly v úvahu, že stěžovatelka spáchala předmětný přestupek poprvé a poskytla správnímu orgánu součinnost při šetření věci, ale na druhé straně jako zcela zásadní přitěžující okolnost zohlednily, že stěžovatelka fakticky nahradila nemovitou kulturní památku stavbou postavenou moderními technologiemi, a že právě vytvořením nové stavby a likvidací původních prvků stavby narušila zájmy chráněné zákonem o památkové péči</w:t>
      </w:r>
      <w:r>
        <w:t xml:space="preserve">. </w:t>
      </w:r>
    </w:p>
    <w:p w:rsidR="004D6207" w:rsidRPr="008D440C" w:rsidRDefault="004D6207" w:rsidP="004D6207">
      <w:pPr>
        <w:autoSpaceDE w:val="0"/>
        <w:autoSpaceDN w:val="0"/>
        <w:adjustRightInd w:val="0"/>
        <w:ind w:firstLine="540"/>
        <w:jc w:val="both"/>
      </w:pPr>
      <w:r w:rsidRPr="008D440C">
        <w:t>Nejvyšší správní soud setrvale odmítá v oblasti památkové ochrany neproporcionální praxi orgánů státní památkové péče</w:t>
      </w:r>
      <w:r>
        <w:t xml:space="preserve">. </w:t>
      </w:r>
      <w:r w:rsidRPr="008D440C">
        <w:t>To znamená, že správní orgán musí při rozhodování na úseku státní památkové péče vždy velmi pečlivě vážit, zda omezení vlastnického práva, kterým je i závazné stanovení, jakým způsobem vlastník památkově chráněné nemovitosti smí, či naopak nesmí, tuto nemovitost opravit, upravit či přebudovat, je proporcionální veřejnému zájmu na zachování památkové hodnoty dané nemovitosti či lokality, v níž se nachází</w:t>
      </w:r>
      <w:r>
        <w:t xml:space="preserve">. </w:t>
      </w:r>
      <w:r w:rsidRPr="008D440C">
        <w:t>… Vedle zájmu na památkové ochraně dané nemovitosti zde stojí také zcela legitimní zájem vlastníka na jejím ekonomicky udržitelném a dlouhodobě životaschopném využití, jakož i veřejný zájem na účelném uspořádání obcí či jiných míst, v nichž se kulturní památky i plošně památkově chráněná území nachází z hledisek např</w:t>
      </w:r>
      <w:r>
        <w:t xml:space="preserve">. </w:t>
      </w:r>
      <w:r w:rsidRPr="008D440C">
        <w:t>dostupnosti různých služeb, dopravní obslužnosti, přiměřeného pohodlí a obvyklých civilizačních vymožeností obytných budov a jiných aspektů vytvářejících komfortní životní podmínky</w:t>
      </w:r>
      <w:r>
        <w:t xml:space="preserve">. </w:t>
      </w:r>
      <w:r w:rsidRPr="008D440C">
        <w:t>… Test proporcionality v užším smyslu může v určitých případech vést k tomu, že zájem na zachování původních prvků kulturní památky bude muset ustoupit jiným zájmům, například nebude-li bez stavebních úprav (dostaveb, přístaveb, změny prostorových dispozic, změny sanitárních a dalších rozvodů, nahrazení původních poškozených prvků stavby replikami aj</w:t>
      </w:r>
      <w:r>
        <w:t>.</w:t>
      </w:r>
      <w:r w:rsidRPr="008D440C">
        <w:t xml:space="preserve">) nemovitá kulturní památka s ohledem na současné standardy bydlení či jiné způsoby užívání nemovitostí (tedy i se zohledněním ekonomických nákladů na stavební úpravy a ekonomické udržitelnosti běžného fungování nemovitosti) </w:t>
      </w:r>
      <w:proofErr w:type="spellStart"/>
      <w:r w:rsidRPr="008D440C">
        <w:t>provozovatelná</w:t>
      </w:r>
      <w:proofErr w:type="spellEnd"/>
      <w:r>
        <w:t xml:space="preserve">. </w:t>
      </w:r>
    </w:p>
    <w:p w:rsidR="004D6207" w:rsidRPr="008D440C" w:rsidRDefault="004D6207" w:rsidP="004D6207">
      <w:pPr>
        <w:autoSpaceDE w:val="0"/>
        <w:autoSpaceDN w:val="0"/>
        <w:adjustRightInd w:val="0"/>
        <w:ind w:firstLine="540"/>
        <w:jc w:val="both"/>
      </w:pPr>
      <w:r w:rsidRPr="008D440C">
        <w:t>To však neznamená, že to, jak nemovitou kulturní památku obnovit, si posoudí bez dalšího její vlastník sám</w:t>
      </w:r>
      <w:r>
        <w:t xml:space="preserve">. </w:t>
      </w:r>
      <w:r w:rsidRPr="008D440C">
        <w:t xml:space="preserve">… Stěžovatelka tedy měla, pokud byla předmětná stavba z hlediska </w:t>
      </w:r>
      <w:r w:rsidRPr="008D440C">
        <w:lastRenderedPageBreak/>
        <w:t>svých památkových hodnot vážně poškozena předchozími stavebními úpravami a poté povodněmi, ve spolupráci s orgány památkové ochrany hledat ekonomicky únosná řešení, která by jí umožnila ve výše popsaných intencích nemovitost opravit a modernizovat tak, aby co možná nejvíce odpovídala životním nárokům současnosti, a přitom byly zároveň co možná nejvíce zachovány či obnoveny původní historicky cenné prvky, jež z nemovitosti činily kulturní památku</w:t>
      </w:r>
      <w:r>
        <w:t xml:space="preserve">. </w:t>
      </w:r>
      <w:r w:rsidRPr="008D440C">
        <w:t>… Nemohla však o své vůli provádět obnovu památkově chráněné nemovitosti mimo rámec závazného stanoviska orgánu státní památkové péče</w:t>
      </w:r>
      <w:r>
        <w:t xml:space="preserve">. </w:t>
      </w:r>
      <w:r w:rsidRPr="008D440C">
        <w:t>Poukazy na to, že správní orgány její stavební činnost mimo rámec závazného stanoviska mlčky tolerovaly, když o ní věděly a nezasáhly, ji nemůže zbavit sankční odpovědnosti a ani vést ke snížení sankce</w:t>
      </w:r>
      <w:r>
        <w:t xml:space="preserve">. </w:t>
      </w:r>
      <w:r w:rsidRPr="008D440C">
        <w:t>Nevyšlo totiž najevo, že by tvrzená tolerance měla, byť i jen náznakem, takovou povahu, aby stěžovatelka mohla legitimně očekávat, že její postupy jsou správními orgány shledávány zákonnými a nepříčícími se příslušným ustanovením zákona o památkové péči</w:t>
      </w:r>
      <w:r>
        <w:t xml:space="preserve">. </w:t>
      </w:r>
      <w:r w:rsidRPr="008D440C">
        <w:t>… Jestliže závazným stanoviskem ze dne 4</w:t>
      </w:r>
      <w:r>
        <w:t xml:space="preserve">. </w:t>
      </w:r>
      <w:r w:rsidRPr="008D440C">
        <w:t>11</w:t>
      </w:r>
      <w:r>
        <w:t xml:space="preserve">. </w:t>
      </w:r>
      <w:r w:rsidRPr="008D440C">
        <w:t>2010 byl stěžovatelce vymezen rámec pro její stavební činnost, stěží si mohla domnívat, že jedná v souladu se zákonem, jen proto, že</w:t>
      </w:r>
      <w:r>
        <w:t> </w:t>
      </w:r>
      <w:r w:rsidRPr="008D440C">
        <w:t>správní orgány vůči ní ihned nezakročily, pokud z tohoto rámce vybočila</w:t>
      </w:r>
      <w:r>
        <w:t xml:space="preserve">. </w:t>
      </w:r>
      <w:r w:rsidRPr="008D440C">
        <w:t>… Jednat v</w:t>
      </w:r>
      <w:r>
        <w:t> </w:t>
      </w:r>
      <w:r w:rsidRPr="008D440C">
        <w:t>souladu s právem je totiž povinen zásadně každý i bez nutnosti jej k tomu okamžitě donucovat, vybočí-li z mezí právem vytčených</w:t>
      </w:r>
      <w:r>
        <w:t xml:space="preserve">. </w:t>
      </w:r>
    </w:p>
    <w:p w:rsidR="004D6207" w:rsidRPr="008D440C" w:rsidRDefault="004D6207" w:rsidP="004D6207">
      <w:pPr>
        <w:autoSpaceDE w:val="0"/>
        <w:autoSpaceDN w:val="0"/>
        <w:adjustRightInd w:val="0"/>
        <w:ind w:firstLine="540"/>
        <w:jc w:val="both"/>
      </w:pPr>
      <w:r w:rsidRPr="008D440C">
        <w:t>Ojedinělá a nebývale vysoká pokuta být může, ukládá-li se za neobvyklý a velmi závažný správní delikt, tedy za něco, co vybočuje z obvyklého standardu „běžných“ deliktů a</w:t>
      </w:r>
      <w:r>
        <w:t> </w:t>
      </w:r>
      <w:r w:rsidRPr="008D440C">
        <w:t>na co je třeba reagovat přísnější sankcí</w:t>
      </w:r>
      <w:r>
        <w:t xml:space="preserve">. </w:t>
      </w:r>
      <w:r w:rsidRPr="008D440C">
        <w:t>… Sankce má být ukládána v takové výši, aby měla odrazující účinek a aby tedy zásadně nenastávaly případy, že stavebník raději poruší ustanovení zákona o památkové péči a nechá si za porušení uložit pokutu, neboť to je pro něho ekonomicky výhodnější než citovaný zákon respektovat</w:t>
      </w:r>
      <w:r>
        <w:t xml:space="preserve">. </w:t>
      </w:r>
    </w:p>
    <w:p w:rsidR="001C63A3" w:rsidRPr="004D6207" w:rsidRDefault="001C63A3" w:rsidP="004D6207"/>
    <w:sectPr w:rsidR="001C63A3" w:rsidRPr="004D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90321"/>
    <w:rsid w:val="00122E0F"/>
    <w:rsid w:val="001C63A3"/>
    <w:rsid w:val="00227666"/>
    <w:rsid w:val="002822CB"/>
    <w:rsid w:val="002F5441"/>
    <w:rsid w:val="00304225"/>
    <w:rsid w:val="00331A98"/>
    <w:rsid w:val="003B735E"/>
    <w:rsid w:val="003D1A5A"/>
    <w:rsid w:val="003E6545"/>
    <w:rsid w:val="004103AC"/>
    <w:rsid w:val="00422781"/>
    <w:rsid w:val="004508F6"/>
    <w:rsid w:val="0047138D"/>
    <w:rsid w:val="00496F0E"/>
    <w:rsid w:val="004D6207"/>
    <w:rsid w:val="005843C9"/>
    <w:rsid w:val="006C7007"/>
    <w:rsid w:val="006D2D75"/>
    <w:rsid w:val="0077417A"/>
    <w:rsid w:val="007A0884"/>
    <w:rsid w:val="007D1139"/>
    <w:rsid w:val="00903111"/>
    <w:rsid w:val="00964725"/>
    <w:rsid w:val="009A2FF3"/>
    <w:rsid w:val="009D16B5"/>
    <w:rsid w:val="009E244C"/>
    <w:rsid w:val="00A91B34"/>
    <w:rsid w:val="00AA2EB2"/>
    <w:rsid w:val="00B775D5"/>
    <w:rsid w:val="00B9560E"/>
    <w:rsid w:val="00BF759B"/>
    <w:rsid w:val="00C23CE7"/>
    <w:rsid w:val="00C94C29"/>
    <w:rsid w:val="00D232B9"/>
    <w:rsid w:val="00DF07E5"/>
    <w:rsid w:val="00DF4D1B"/>
    <w:rsid w:val="00E322A7"/>
    <w:rsid w:val="00EA58BB"/>
    <w:rsid w:val="00EE0502"/>
    <w:rsid w:val="00EF4216"/>
    <w:rsid w:val="00F048CB"/>
    <w:rsid w:val="00F12DAF"/>
    <w:rsid w:val="00F31BF0"/>
    <w:rsid w:val="00F718BB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5048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2017-05-04T08:41:00Z</dcterms:created>
  <dcterms:modified xsi:type="dcterms:W3CDTF">2017-05-04T08:41:00Z</dcterms:modified>
</cp:coreProperties>
</file>