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F6" w:rsidRPr="00BC6735" w:rsidRDefault="004508F6" w:rsidP="004508F6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23"/>
      <w:bookmarkStart w:id="1" w:name="_Toc401223722"/>
      <w:bookmarkStart w:id="2" w:name="_GoBack"/>
      <w:bookmarkEnd w:id="2"/>
      <w:r w:rsidRPr="00BC6735">
        <w:rPr>
          <w:b/>
        </w:rPr>
        <w:t xml:space="preserve">Rozsudek Vrchního soudu v 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7 A 144/94 - 32 z 30</w:t>
      </w:r>
      <w:r>
        <w:rPr>
          <w:b/>
        </w:rPr>
        <w:t xml:space="preserve">. </w:t>
      </w:r>
      <w:r w:rsidRPr="00BC6735">
        <w:rPr>
          <w:b/>
        </w:rPr>
        <w:t>7</w:t>
      </w:r>
      <w:r>
        <w:rPr>
          <w:b/>
        </w:rPr>
        <w:t xml:space="preserve">. </w:t>
      </w:r>
      <w:r w:rsidRPr="00BC6735">
        <w:rPr>
          <w:b/>
        </w:rPr>
        <w:t>1996 (C013)</w:t>
      </w:r>
      <w:bookmarkEnd w:id="0"/>
      <w:bookmarkEnd w:id="1"/>
    </w:p>
    <w:p w:rsidR="004508F6" w:rsidRDefault="004508F6" w:rsidP="004508F6">
      <w:pPr>
        <w:ind w:firstLine="708"/>
        <w:jc w:val="both"/>
      </w:pPr>
      <w:r>
        <w:t xml:space="preserve">Ustanovení § 15 zákona o státní památkové péči vypočítává, co se má stát, jestliže vlastník kulturní památky neprovede opatření podle § 10 odst. 1 zákona o státní památkové péči. V takovém případě především vydá správní orgán rozhodnutí o tom, že nezbytná opatření pro zabezpečení kulturní památky (zjevně tedy nikoli opatření jakákoli, byť i podle ustanovení § 10 odst. 1 zákona o státní památkové péči uložená, ale jen pro zabezpečení nezbytná) se provedou na náklad jejího vlastníka. </w:t>
      </w:r>
    </w:p>
    <w:p w:rsidR="004508F6" w:rsidRDefault="004508F6" w:rsidP="004508F6">
      <w:pPr>
        <w:ind w:firstLine="708"/>
        <w:jc w:val="both"/>
      </w:pPr>
      <w:r>
        <w:t xml:space="preserve">V případě neplnění opatření podle § 10 odst. 1 zákona o státní památkové péči tedy jde o zvláštní případ správní exekuce (§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násl. správního řádu z roku 1967), mířící na přímé vynucení uloženého plnění v nezbytném rozsahu. To vylučuje použití obecné úpravy, zejména postupné ukládání pokut (§ 79 odst. 3 správního řádu z roku 1967). Tím spíše nelze uloženou povinnost vynucovat ukládáním pokuty podle ustanovení § 35 odst. 1 písm. c) zákona o státní památkové péči, tedy tím způsobem, který postihuje jiné porušení právních předpisů. </w:t>
      </w:r>
    </w:p>
    <w:p w:rsidR="004508F6" w:rsidRDefault="004508F6" w:rsidP="004508F6">
      <w:pPr>
        <w:ind w:firstLine="708"/>
        <w:jc w:val="both"/>
      </w:pPr>
      <w:r>
        <w:t xml:space="preserve">Okresní úřad jako správní orgán I. stupně a žalovaný nevzali v úvahu, že uložení pokuty není sankcí za nesplnění opatření uložených podle § 10 zákona o státní památkové péči (a nejde tedy o obdobu např. ustanovení § 106 odst. 2, písm. i) stavebního zákona z roku 1976, podle kterého se ukládá pokuta za neprovedení nařízených nezbytných úprav), ale že skutková podstata pro uložení správní sankce je jiná, bez přímé vazby na opatření uložená podle § 10 zákona o státní památkové péče. </w:t>
      </w:r>
    </w:p>
    <w:p w:rsidR="004508F6" w:rsidRDefault="004508F6" w:rsidP="004508F6">
      <w:pPr>
        <w:ind w:firstLine="708"/>
        <w:jc w:val="both"/>
      </w:pPr>
      <w:r>
        <w:t xml:space="preserve">Nelze samozřejmě vyloučit, že v konkrétním případě budou splněny podmínky jak pro uložení opatření podle § 10 odst. 1 zákona o státní památkové péči (a případně jeho vynucování postupem podle § 15 zákona o státní památkové péči), tak i pro uložení administrativní sankce podle § </w:t>
      </w:r>
      <w:smartTag w:uri="urn:schemas-microsoft-com:office:smarttags" w:element="metricconverter">
        <w:smartTagPr>
          <w:attr w:name="ProductID" w:val="35 a"/>
        </w:smartTagPr>
        <w:r>
          <w:t>35 a</w:t>
        </w:r>
      </w:smartTag>
      <w:r>
        <w:t xml:space="preserve"> že mohou být splněny současně, i v různé časové souslednosti. To však nic nemění na tom, že jde o dvě odlišná řízení s potřebou odlišných skutkových zjištění v důkazním řízení a že zákonné předpoklady pro vydání obou takových rozhodnutí jsou rovněž odlišné. </w:t>
      </w:r>
    </w:p>
    <w:p w:rsidR="00BF759B" w:rsidRPr="004508F6" w:rsidRDefault="00BF759B" w:rsidP="004508F6"/>
    <w:sectPr w:rsidR="00BF759B" w:rsidRPr="004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4508F6"/>
    <w:rsid w:val="00463551"/>
    <w:rsid w:val="005843C9"/>
    <w:rsid w:val="006D2D75"/>
    <w:rsid w:val="0077417A"/>
    <w:rsid w:val="009A2FF3"/>
    <w:rsid w:val="00A91B34"/>
    <w:rsid w:val="00B775D5"/>
    <w:rsid w:val="00BF759B"/>
    <w:rsid w:val="00C23CE7"/>
    <w:rsid w:val="00C94C29"/>
    <w:rsid w:val="00DF4D1B"/>
    <w:rsid w:val="00E322A7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2017-05-04T08:48:00Z</dcterms:created>
  <dcterms:modified xsi:type="dcterms:W3CDTF">2017-05-04T08:48:00Z</dcterms:modified>
</cp:coreProperties>
</file>