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93" w:rsidRPr="00CF4D93" w:rsidRDefault="00CF4D93" w:rsidP="00CF4D93">
      <w:pPr>
        <w:pStyle w:val="Nadpis2"/>
        <w:widowControl w:val="0"/>
        <w:autoSpaceDE w:val="0"/>
        <w:spacing w:line="240" w:lineRule="auto"/>
        <w:ind w:left="576" w:right="0"/>
        <w:jc w:val="both"/>
        <w:rPr>
          <w:b/>
          <w:color w:val="000000" w:themeColor="text1"/>
        </w:rPr>
      </w:pPr>
      <w:bookmarkStart w:id="0" w:name="_Toc455066893"/>
      <w:bookmarkStart w:id="1" w:name="_GoBack"/>
      <w:bookmarkEnd w:id="1"/>
      <w:r w:rsidRPr="00CF4D93">
        <w:rPr>
          <w:b/>
          <w:color w:val="000000" w:themeColor="text1"/>
        </w:rPr>
        <w:t xml:space="preserve">Rozsudek Krajského soudu v Ostravě – pobočky v Olomouci </w:t>
      </w:r>
      <w:proofErr w:type="spellStart"/>
      <w:r w:rsidRPr="00CF4D93">
        <w:rPr>
          <w:b/>
          <w:color w:val="000000" w:themeColor="text1"/>
        </w:rPr>
        <w:t>sp</w:t>
      </w:r>
      <w:proofErr w:type="spellEnd"/>
      <w:r w:rsidRPr="00CF4D93">
        <w:rPr>
          <w:b/>
          <w:color w:val="000000" w:themeColor="text1"/>
        </w:rPr>
        <w:t>. zn. 76 A 35/2012 – 51 z 12. 5. 2014 (D124)</w:t>
      </w:r>
      <w:bookmarkEnd w:id="0"/>
    </w:p>
    <w:p w:rsidR="00CF4D93" w:rsidRPr="00CF4D93" w:rsidRDefault="00CF4D93" w:rsidP="00CF4D93">
      <w:pPr>
        <w:tabs>
          <w:tab w:val="left" w:pos="0"/>
        </w:tabs>
        <w:ind w:firstLine="709"/>
        <w:jc w:val="both"/>
      </w:pPr>
      <w:r w:rsidRPr="00CF4D93">
        <w:t>Podle § 39 odst. 2 písm. g) zákona č. 20/1987 Sb. i spáchání přestupku o státní památkové péči, ve znění účinném ke dni vydání napadeného rozhodnutí i ke dni spáchání přestupku, krajský úřad může uložit pokutu až do výše 4 000 000 Kč fyzické osobě, která se dopustí přestupku tím, že provádí v rozporu s § 21 odst. 2 archeologický výzkum, nebo provádí archeologický výzkum, přestože není osobou oprávněnou k výzkumům podle § 21a odst. 2, nebo postupuje v rozporu se zákazem podle § 35 odst. 4 nebo § 39 odst. 4.</w:t>
      </w:r>
    </w:p>
    <w:p w:rsidR="00CF4D93" w:rsidRPr="00CF4D93" w:rsidRDefault="00CF4D93" w:rsidP="00CF4D93">
      <w:pPr>
        <w:tabs>
          <w:tab w:val="left" w:pos="0"/>
        </w:tabs>
        <w:ind w:firstLine="709"/>
        <w:jc w:val="both"/>
      </w:pPr>
      <w:r w:rsidRPr="00CF4D93">
        <w:t>S obsahem listiny coby důkazu se žalobce seznámil poté, co mu ji správní orgán zaslal. Účel § 51 odst. 2 věta první správního řádu, podle kterého o provádění důkazů mimo ústní jednání musí být účastníci včas vyrozuměni, nehrozí-li nebezpečí z prodlení, byl naplněn i v souzené věci a postup správního úřadu nebyl žalobci na újmu. Proto je tato námitka nedůvodná.</w:t>
      </w:r>
    </w:p>
    <w:p w:rsidR="00CF4D93" w:rsidRPr="00CF4D93" w:rsidRDefault="00CF4D93" w:rsidP="00CF4D93">
      <w:pPr>
        <w:tabs>
          <w:tab w:val="left" w:pos="0"/>
        </w:tabs>
        <w:ind w:firstLine="709"/>
        <w:jc w:val="both"/>
      </w:pPr>
      <w:r w:rsidRPr="00CF4D93">
        <w:t xml:space="preserve">… soud konstatuje, že žádný právní předpis neukládá žádnému konkrétnímu orgánu veřejné moci, aby konkrétním způsobem vymezil archeologické lokality. Tuto povinnost neukládá ani Úmluva o ochraně archeologického dědictví Evropy, </w:t>
      </w:r>
      <w:proofErr w:type="spellStart"/>
      <w:r w:rsidRPr="00CF4D93">
        <w:t>publ</w:t>
      </w:r>
      <w:proofErr w:type="spellEnd"/>
      <w:r w:rsidRPr="00CF4D93">
        <w:t xml:space="preserve">. </w:t>
      </w:r>
      <w:proofErr w:type="gramStart"/>
      <w:r w:rsidRPr="00CF4D93">
        <w:t>pod</w:t>
      </w:r>
      <w:proofErr w:type="gramEnd"/>
      <w:r w:rsidRPr="00CF4D93">
        <w:t xml:space="preserve"> č. 99/2000 Sb. m. s. (dále „Úmluva“, zvaná též Maltská konvence). … Ostatně, sám žalobce policistům v den spáchání přestupku při vysvětlení na služebně sdělil, že se o této lokalitě dozvěděl z časopisu Archeologické rozhledy a z internetu, a rovněž o tom svědčí samotná skutečnost, že se ze svého bydliště v Praze vypravil do tohoto místa vzdáleného od jeho bydliště cestou motorovým vozidlem 258 km (vzato z mapy.cz, nejrychlejší trasa). Za takové situace je námitka neoznačení lokality zcela bezpředmětná.</w:t>
      </w:r>
    </w:p>
    <w:p w:rsidR="00CF4D93" w:rsidRPr="00CF4D93" w:rsidRDefault="00CF4D93" w:rsidP="00CF4D93">
      <w:pPr>
        <w:tabs>
          <w:tab w:val="left" w:pos="0"/>
        </w:tabs>
        <w:ind w:firstLine="709"/>
        <w:jc w:val="both"/>
      </w:pPr>
      <w:r w:rsidRPr="00CF4D93">
        <w:t>Z provedeného dokazování vyplývá, že žalobce věděl, že se nachází v archeologicky významné lokalitě, jak bylo uvedeno výše, a dále, že věděl, že svým jednáním může porušit nebo ohrozit zájem chráněný zákonem, protože sám žádal (jak uvedl při podání vysvětlení Policii ČR v den spáchání přestupku) v roce 1995 o povolení provádět archeologický výzkum, ale nedostal ho, nemá ho. Jinými slovy, žalobce přesně věděl a byl srozuměn s tím, že archeologický výzkum nemůže provádět, aniž by k tomu měl příslušné povolení orgánů veřejné moci.</w:t>
      </w:r>
    </w:p>
    <w:p w:rsidR="00CF4D93" w:rsidRPr="00CF4D93" w:rsidRDefault="00CF4D93" w:rsidP="00CF4D93">
      <w:pPr>
        <w:tabs>
          <w:tab w:val="left" w:pos="0"/>
        </w:tabs>
        <w:ind w:firstLine="709"/>
        <w:jc w:val="both"/>
      </w:pPr>
      <w:r w:rsidRPr="00CF4D93">
        <w:t>Soud konstatuje, že vyhodnocení skutkového stavu správními orgány tak, že žalobce (i druhý obviněný) prováděli archeologický průzkum funkčními a zapnutým přístroji logicky odpovídá zpozorovaným pohybům s detektory a chováním obou obviněných. Žalobce proti této verzi nepostavil žádnou svou verzi, žádnou obhajobu, neposkytl žádné tvrzení ani důkaz, proč pohyboval detektorem zprava doleva v půl kruhu před sebou opakovaně do doby, než zpozorovali přítomnost policejní hlídky.</w:t>
      </w:r>
    </w:p>
    <w:p w:rsidR="00CF4D93" w:rsidRPr="00CF4D93" w:rsidRDefault="00CF4D93" w:rsidP="00CF4D93">
      <w:pPr>
        <w:tabs>
          <w:tab w:val="left" w:pos="0"/>
        </w:tabs>
        <w:ind w:firstLine="709"/>
        <w:jc w:val="both"/>
      </w:pPr>
      <w:r w:rsidRPr="00CF4D93">
        <w:t>… policisté neměli zájem na tom, aby žalobce poškodili, k tomu nebyla zjištěna ex offo ve správním řízení a ani žalobcem dosud namítnutá žádná konkrétní skutečnost.</w:t>
      </w:r>
    </w:p>
    <w:p w:rsidR="00CF4D93" w:rsidRPr="00CF4D93" w:rsidRDefault="00CF4D93" w:rsidP="00CF4D93">
      <w:pPr>
        <w:tabs>
          <w:tab w:val="left" w:pos="0"/>
        </w:tabs>
        <w:ind w:firstLine="709"/>
        <w:jc w:val="both"/>
      </w:pPr>
      <w:r w:rsidRPr="00CF4D93">
        <w:t>Soud podotýká, že není podstatné, jestli detektory byly zapnuty či nikoliv, protože archeologický průzkum lze provádět i bez jejich použití.</w:t>
      </w:r>
    </w:p>
    <w:p w:rsidR="00CF4D93" w:rsidRPr="00CF4D93" w:rsidRDefault="00CF4D93" w:rsidP="00CF4D93">
      <w:pPr>
        <w:tabs>
          <w:tab w:val="left" w:pos="0"/>
        </w:tabs>
        <w:ind w:firstLine="709"/>
        <w:jc w:val="both"/>
      </w:pPr>
      <w:r w:rsidRPr="00CF4D93">
        <w:t xml:space="preserve">K pojmu archeologický výzkum soud především konstatuje, že ačkoliv legální definice tohoto pojmu neexistuje (v obecně závazných právních předpisech), je třeba se řídit významem slov v běžném jazyce. Podle rozsudku Nejvyššího správního soudu ze dne 26. 11. 2009, č. j. 2 As 37/2009-62, www.nssoud.cz, není-li pojem (zde nerozpustné nečistoty) definován v právním předpise jinak, je třeba mu při jeho výkladu přisoudit takový význam, jaký má v běžném jazyce. Přestože podzákonné právní předpisy nejsou v souladu s čl. 95 odst. 1 část věty před středníkem Ústavy pro soud závazné (soudce je při rozhodování vázán zákonem a mezinárodní smlouvou, která je součástí právního řádu), s ohledem na citovaný rozsudek Nejvyššího správního soudu o obvyklém významu slov v právu soud odkazuje na interní předpis Archeologického ústavu Akademie věd, který definici archeologického </w:t>
      </w:r>
      <w:r w:rsidRPr="00CF4D93">
        <w:lastRenderedPageBreak/>
        <w:t>výzkumu podává: záchranný archeologický výzkum (dále jen výzkum) je odbornou archeologickou činností vyvolanou ohrožením či narušením území s archeologickými nálezy. Výsledkem výzkumu je soubor artefaktů (movitých nálezů) a nálezová zpráva (zpráva o výsledcích výzkumu dle dikce § 21 odst. 3 zákona č. 20/87Sb., v platném znění), která detailně dokumentuje a interpretuje archeologické situace nenávratně zničené stavební, těžební či jinou činností. Z tohoto důvodu se výzkumem rozumějí veškeré etapy archeologické práce na území s archeologickými nálezy až do stadia nálezové zprávy, tedy vlastní terénní práce (odkryv), provedení úplné dokumentace odkrytých situací, geodetické zaměření plochy výzkumu, evidence a ošetření movitých archeologických nálezů, další zpracování terénní dokumentace podle obvyklého standardu (např. překreslení plánů, digitalizace), dokumentace movitých nálezů včetně jejich případné konzervace, uložení movitých nálezů do vhodného depozitáře, analýza odebraných vzorků (kromě artefaktů také např. zvířecích a lidských kostí, zbytků rostlin, mineralogických materiálů atd.) a komplexní vyhodnocení výsledků výzkumu.</w:t>
      </w:r>
    </w:p>
    <w:p w:rsidR="00CF4D93" w:rsidRPr="00CF4D93" w:rsidRDefault="00CF4D93" w:rsidP="00CF4D93">
      <w:pPr>
        <w:tabs>
          <w:tab w:val="left" w:pos="0"/>
        </w:tabs>
        <w:ind w:firstLine="709"/>
        <w:jc w:val="both"/>
      </w:pPr>
      <w:r w:rsidRPr="00CF4D93">
        <w:t xml:space="preserve">Pobyt na shora vymezením území není protiprávní, ale provádění archeologického průzkumu ano. … Sám žalobce ve své výpovědi jako účastník soudního řízení správního vypověděl, že měl v DD badatelský zájem, a pokud by mu to okolnosti dovolily, použil by detektor kovů tak, jak ho používal posledních 15 let, tj. ke svým zájmům a koníčkům, přičemž archeologie je žalobcovým celoživotním koníčkem. </w:t>
      </w:r>
    </w:p>
    <w:p w:rsidR="00CF4D93" w:rsidRPr="00CF4D93" w:rsidRDefault="00CF4D93" w:rsidP="00CF4D93">
      <w:pPr>
        <w:tabs>
          <w:tab w:val="left" w:pos="0"/>
        </w:tabs>
        <w:ind w:firstLine="709"/>
        <w:jc w:val="both"/>
      </w:pPr>
      <w:r w:rsidRPr="00CF4D93">
        <w:t>O veřejném zájmu v oblasti zachování kulturního dědictví není pochyb – a významu tohoto veřejného zájmu svědčí už to, že v nejvyšším zákoně našeho právního řádu – Ústavě - se v Preambuli hovoří o tom, že… My, občané České republiky v Čechách, na Moravě a ve Slezsku,… odhodláni společně střežit a rozvíjet zděděné přírodní a kulturní, hmotné a duchovní bohatství, odhodláni řídit se všemi osvědčenými principy právního státu, prostřednictvím svých svobodně zvolených zástupců přijímáme tuto Ústavu České republiky. Podle čl. 10 Ústavy vyhlášené mezinárodní smlouvy, k jejichž ratifikaci dal Parlament souhlas a jimiž je Česká republika vázána, jsou součástí právního řádu; stanoví-li mezinárodní smlouva něco jiného než zákon, použije se mezinárodní smlouva. Součástí právního řádu je tak Úmluva o ochraně archeologického dědictví Evropy, citovaná výše.</w:t>
      </w:r>
    </w:p>
    <w:p w:rsidR="00CF4D93" w:rsidRPr="00CF4D93" w:rsidRDefault="00CF4D93" w:rsidP="00CF4D93">
      <w:pPr>
        <w:tabs>
          <w:tab w:val="left" w:pos="0"/>
        </w:tabs>
        <w:ind w:firstLine="709"/>
        <w:jc w:val="both"/>
        <w:rPr>
          <w:color w:val="000000" w:themeColor="text1"/>
        </w:rPr>
      </w:pPr>
      <w:r w:rsidRPr="00CF4D93">
        <w:t xml:space="preserve">Soud shledal jako nedůvodnou i námitku o nepřiměřené výši sankce. … Žalobci byla uložena pokuta ve výši 2.000 Kč, což je na samé spodní hranici zákonem stanové sazby. Již pro tuto samotnou skutečnost nelze vůbec hovořit o nepřiměřené sankci. Souladný se zákonem, přiměřený a řádně odůvodněný byl i výrok o propadnutí vyjmenovaných věcí, které byly použity ke spáchání přestupku </w:t>
      </w:r>
      <w:r w:rsidRPr="00CF4D93">
        <w:rPr>
          <w:i/>
        </w:rPr>
        <w:t>[šlo o detektory kovů, sluchátka krumpáče, pozn. vydavatele]</w:t>
      </w:r>
      <w:r w:rsidRPr="00CF4D93">
        <w:t>.</w:t>
      </w:r>
    </w:p>
    <w:p w:rsidR="00811B22" w:rsidRPr="00CF4D93" w:rsidRDefault="00811B22" w:rsidP="00CF4D93">
      <w:pPr>
        <w:ind w:firstLine="709"/>
        <w:jc w:val="both"/>
        <w:rPr>
          <w:color w:val="000000" w:themeColor="text1"/>
        </w:rPr>
      </w:pPr>
    </w:p>
    <w:sectPr w:rsidR="00811B22" w:rsidRPr="00CF4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F51"/>
    <w:multiLevelType w:val="multilevel"/>
    <w:tmpl w:val="3A9A75B8"/>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36"/>
    <w:rsid w:val="00264A36"/>
    <w:rsid w:val="00811B22"/>
    <w:rsid w:val="008C5AE7"/>
    <w:rsid w:val="00A352BD"/>
    <w:rsid w:val="00CF4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A3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264A36"/>
    <w:pPr>
      <w:keepNext/>
      <w:numPr>
        <w:numId w:val="1"/>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264A36"/>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264A36"/>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264A36"/>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264A36"/>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264A36"/>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264A36"/>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264A36"/>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264A36"/>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4A36"/>
    <w:rPr>
      <w:rFonts w:ascii="Times New Roman" w:eastAsia="Times New Roman" w:hAnsi="Times New Roman" w:cs="Arial"/>
      <w:b/>
      <w:bCs/>
      <w:kern w:val="32"/>
      <w:sz w:val="24"/>
      <w:szCs w:val="24"/>
      <w:u w:val="single"/>
      <w:lang w:eastAsia="cs-CZ"/>
    </w:rPr>
  </w:style>
  <w:style w:type="character" w:customStyle="1" w:styleId="Nadpis2Char">
    <w:name w:val="Nadpis 2 Char"/>
    <w:basedOn w:val="Standardnpsmoodstavce"/>
    <w:link w:val="Nadpis2"/>
    <w:rsid w:val="00264A36"/>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semiHidden/>
    <w:rsid w:val="00264A36"/>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264A36"/>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264A36"/>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264A36"/>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264A36"/>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264A36"/>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264A36"/>
    <w:rPr>
      <w:rFonts w:ascii="Cambria" w:eastAsia="Times New Roman" w:hAnsi="Cambria"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A3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264A36"/>
    <w:pPr>
      <w:keepNext/>
      <w:numPr>
        <w:numId w:val="1"/>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264A36"/>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264A36"/>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264A36"/>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264A36"/>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264A36"/>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264A36"/>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264A36"/>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264A36"/>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4A36"/>
    <w:rPr>
      <w:rFonts w:ascii="Times New Roman" w:eastAsia="Times New Roman" w:hAnsi="Times New Roman" w:cs="Arial"/>
      <w:b/>
      <w:bCs/>
      <w:kern w:val="32"/>
      <w:sz w:val="24"/>
      <w:szCs w:val="24"/>
      <w:u w:val="single"/>
      <w:lang w:eastAsia="cs-CZ"/>
    </w:rPr>
  </w:style>
  <w:style w:type="character" w:customStyle="1" w:styleId="Nadpis2Char">
    <w:name w:val="Nadpis 2 Char"/>
    <w:basedOn w:val="Standardnpsmoodstavce"/>
    <w:link w:val="Nadpis2"/>
    <w:rsid w:val="00264A36"/>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semiHidden/>
    <w:rsid w:val="00264A36"/>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264A36"/>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264A36"/>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264A36"/>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264A36"/>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264A36"/>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264A36"/>
    <w:rPr>
      <w:rFonts w:ascii="Cambria" w:eastAsia="Times New Roman" w:hAnsi="Cambri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5764</Characters>
  <Application>Microsoft Office Word</Application>
  <DocSecurity>4</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P.N. F.Adámek č. 6</cp:lastModifiedBy>
  <cp:revision>2</cp:revision>
  <dcterms:created xsi:type="dcterms:W3CDTF">2017-05-04T08:45:00Z</dcterms:created>
  <dcterms:modified xsi:type="dcterms:W3CDTF">2017-05-04T08:45:00Z</dcterms:modified>
</cp:coreProperties>
</file>