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3D" w:rsidRPr="00BC6735" w:rsidRDefault="009E793D" w:rsidP="009E793D">
      <w:pPr>
        <w:pStyle w:val="Nadpis2"/>
        <w:widowControl w:val="0"/>
        <w:autoSpaceDE w:val="0"/>
        <w:spacing w:line="240" w:lineRule="auto"/>
        <w:ind w:left="576" w:right="0"/>
        <w:jc w:val="both"/>
        <w:rPr>
          <w:b/>
        </w:rPr>
      </w:pPr>
      <w:bookmarkStart w:id="0" w:name="_Toc401063845"/>
      <w:bookmarkStart w:id="1" w:name="_Toc401223744"/>
      <w:r w:rsidRPr="00BC6735">
        <w:rPr>
          <w:b/>
        </w:rPr>
        <w:t xml:space="preserve">Rozsudek </w:t>
      </w:r>
      <w:r>
        <w:rPr>
          <w:b/>
        </w:rPr>
        <w:t>Městského soudu v Praze</w:t>
      </w:r>
      <w:r w:rsidRPr="00BC6735">
        <w:rPr>
          <w:b/>
        </w:rPr>
        <w:t xml:space="preserve"> sp</w:t>
      </w:r>
      <w:r>
        <w:rPr>
          <w:b/>
        </w:rPr>
        <w:t xml:space="preserve">. </w:t>
      </w:r>
      <w:r w:rsidRPr="00BC6735">
        <w:rPr>
          <w:b/>
        </w:rPr>
        <w:t>zn</w:t>
      </w:r>
      <w:r>
        <w:rPr>
          <w:b/>
        </w:rPr>
        <w:t xml:space="preserve">. </w:t>
      </w:r>
      <w:r>
        <w:rPr>
          <w:b/>
        </w:rPr>
        <w:t>6</w:t>
      </w:r>
      <w:r w:rsidRPr="00BC6735">
        <w:rPr>
          <w:b/>
        </w:rPr>
        <w:t xml:space="preserve"> </w:t>
      </w:r>
      <w:r>
        <w:rPr>
          <w:b/>
        </w:rPr>
        <w:t>A</w:t>
      </w:r>
      <w:r w:rsidRPr="00BC6735">
        <w:rPr>
          <w:b/>
        </w:rPr>
        <w:t xml:space="preserve"> </w:t>
      </w:r>
      <w:r>
        <w:rPr>
          <w:b/>
        </w:rPr>
        <w:t>12</w:t>
      </w:r>
      <w:r w:rsidRPr="00BC6735">
        <w:rPr>
          <w:b/>
        </w:rPr>
        <w:t>/20</w:t>
      </w:r>
      <w:r>
        <w:rPr>
          <w:b/>
        </w:rPr>
        <w:t>13</w:t>
      </w:r>
      <w:r w:rsidRPr="00BC6735">
        <w:rPr>
          <w:b/>
        </w:rPr>
        <w:t xml:space="preserve"> – </w:t>
      </w:r>
      <w:r>
        <w:rPr>
          <w:b/>
        </w:rPr>
        <w:t>54</w:t>
      </w:r>
      <w:r w:rsidRPr="00BC6735">
        <w:rPr>
          <w:b/>
        </w:rPr>
        <w:t xml:space="preserve"> z </w:t>
      </w:r>
      <w:r>
        <w:rPr>
          <w:b/>
        </w:rPr>
        <w:t>10</w:t>
      </w:r>
      <w:r>
        <w:rPr>
          <w:b/>
        </w:rPr>
        <w:t xml:space="preserve">. </w:t>
      </w:r>
      <w:r>
        <w:rPr>
          <w:b/>
        </w:rPr>
        <w:t>8</w:t>
      </w:r>
      <w:r>
        <w:rPr>
          <w:b/>
        </w:rPr>
        <w:t xml:space="preserve">. </w:t>
      </w:r>
      <w:r w:rsidRPr="00BC6735">
        <w:rPr>
          <w:b/>
        </w:rPr>
        <w:t>20</w:t>
      </w:r>
      <w:r>
        <w:rPr>
          <w:b/>
        </w:rPr>
        <w:t>16</w:t>
      </w:r>
      <w:r w:rsidRPr="00BC6735">
        <w:rPr>
          <w:b/>
        </w:rPr>
        <w:t xml:space="preserve"> (D</w:t>
      </w:r>
      <w:r>
        <w:rPr>
          <w:b/>
        </w:rPr>
        <w:t>140</w:t>
      </w:r>
      <w:r w:rsidRPr="00BC6735">
        <w:rPr>
          <w:b/>
        </w:rPr>
        <w:t>)</w:t>
      </w:r>
      <w:bookmarkEnd w:id="0"/>
      <w:bookmarkEnd w:id="1"/>
      <w:r w:rsidRPr="00BC6735">
        <w:rPr>
          <w:b/>
        </w:rPr>
        <w:t xml:space="preserve"> </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Žalobní námitky směřují do naplnění znaku třetího, tedy k otázce, zda umístění světelných reklamních panelů v konkrétním nyní posuzovaném případě v meziplášti (pod vnějším skleněným pláštěm) budovy je podřaditelné pod některou z činností vymezených v ustanovení § 14 odst. 2 památkového zákona.</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 xml:space="preserve">Jak již bylo výše uvedeno, ustanovení § 14 odst. 2 památkového zákona vymezuje jako činnosti, k nimž je zapotřebí předchozího závazného stanoviska, stavbu, změnu stavby, terénní úpravy, umístění nebo odstranění zařízení, odstranění stavby, úpravu dřevin nebo udržovací práce na nemovitosti. S výjimkou úpravy dřevin jde o činnosti, jejichž pojmové vymezení užívá označení činností vymezených v zákoně č. 183/2006 Sb., o územním plánování a stavebním řádu, ve znění pozdějších předpisů (dále „stavební zákon“). Z hlediska principu jednotnosti a bezrozpornosti právního řádu (k tomu srov. rozsudek rozšířeného senátu Nejvyššího správního soudu ze dne 26. 10. 2005, čj. 2 Afs 81/2004-54, publikovaný pod č. 791/2006 Sb. NSS, podle kterého právní řád, založený na principech jednoty, racionality a vnitřní obsahové bezrozpornosti, s sebou nutně přináší imperativ stejného náhledu na srovnatelné právní instituty, byť upravené v rozdílných právních předpisech či dokonce odvětvích) a právní jistoty lze dospět k závěru, že by stejné pojmy užívané v různých právních předpisech měly mít v zásadě stejný význam. Podle § 3 odst. 2 stavebního zákona se přitom zařízením rozumí informační a reklamní panel, tabule, deska či jiná konstrukce a technické zařízení, pokud nejde o stavbu podle § 2 odst. 3 stavebního zákona. Nabízí se tak interpretační východisko, které pojem „zařízení“ podle § 14 odst. 2 památkového zákona ztotožní s pojmem „zařízení“ podle § 3 odst. 2 stavebního zákona. Tomuto interpretačnímu východisku přisvědčil Nejvyšší správní soud v rozsudku ze dne 6. 8. 2013, č. j. 8 As 63/2012-37. </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Otázkou tak je, zda lze reklamní zařízení umístěné žalobcem na jím užívané nemovitosti takto vymezenému pojmu „zařízení“ podřadit. Z hlediska legální definice podle ustanovení § 3 odst. 2 stavebního zákona není zjevně rozhodné technické provedení reklamního zařízení. Uvedená definice užívá toliko pojmů „panel“, „tabule“, „deska“ či „jiná konstrukce a technické zařízení“, tedy pojmů z hlediska konstrukčního uspořádání značně neurčitých.</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Judikatura doposud dovodila (srov. rozsudek Městského soudu v Praze ze dne 22. 3. 2012, čj. 8 Ca 169/2009 – 42, ve spojení s právě citovaným rozsudkem Nejvyššího správního soudu ze dne 6. 8. 2013, č. j. 8 As 63/2012-37), že pojmové znaky takového zařízení nebude splňovat pouhá zavěšená reklamní plachta, aniž k jejímu zavěšení bylo využito nějakých dalších konstrukčních prvků (zavěšení tzv. „horolezeckým způsobem“). Takovému závěru přisvědčuje i literatura; Machačková, J. a kol.,: Stavební zákon. Komentář. 2. vydání. Praha: C. H. Beck, 2013, uvádí k ustanovení § 3 odst. 2 stavebního zákona, že „pro plnění funkce zařízení jsou používány různé nosiče reklamy, rámy, rošty, konzoly, na něž je pak reklama (plakát, reklamní plachta apod.) upevňována, ta však sama o sobě zařízením není“. Stejně tak zdůrazňuje, že „pojem „zařízení“ je definován pouze rámcově a nejsou řešeny otázky jeho technického provedení ani způsobu upevnění na nosnou konstrukci. Není řešeno ani jejich umisťování na pozemku nebo stavbě“ (srov. str. 29 – 30).</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V případě zařízení umístěného žalobcem se však již podle názoru soudu o zařízení splňující definiční znaky zařízení podle § 3 odst. 2 stavebního zákona jednalo. Velkoplošné LCD monitory umístěné na fasádě budovy (resp. pod vnějším transparentním opláštěním budovy), které slouží k šíření reklamních sdělení vizuálními prostředky, lze označit těžko za něco jiného než za informační či reklamní panel, resp. desku. Jde o technické zařízení, jež vyžaduje alespoň minimální konstrukční zásah směřující k jeho umístění, nejde o pouhé vyvěšení samotného hmotného nosiče reklamy v podobě plakátu či plachty. Funkci hmotného nosiče reklamního sdělení v případě LCD monitorů pln</w:t>
      </w:r>
      <w:bookmarkStart w:id="2" w:name="_GoBack"/>
      <w:bookmarkEnd w:id="2"/>
      <w:r w:rsidRPr="009E793D">
        <w:rPr>
          <w:rFonts w:cstheme="minorBidi"/>
          <w:szCs w:val="22"/>
        </w:rPr>
        <w:t xml:space="preserve">í obrazovkové rozhraní, které však </w:t>
      </w:r>
      <w:r w:rsidRPr="009E793D">
        <w:rPr>
          <w:rFonts w:cstheme="minorBidi"/>
          <w:szCs w:val="22"/>
        </w:rPr>
        <w:lastRenderedPageBreak/>
        <w:t>k plnění své funkce vyžaduje instalaci celého přístroje, který se svou hmotou a uspořádáním fakticky neliší od nejrůznějších „desek“, „panelů“ či jiných nosičů reklam. Na rozdíl od pouhého vyvěšení plakátu apod. tedy umístění velkoplošné LCD obrazovky vyžaduje již jistý konstrukční zásah srovnatelný s umístěním a upevněním desky, tabule, panelu či jiného konstrukčního prvku, na který je reklama umisťována. Soud zdůrazňuje, že míra potřebného konstrukčního zásahu do konstrukčních prvků nemovitosti, na níž je zařízení pro reklamu umisťováno, není z hlediska definice obsažené v § 3 odst. 2 stavebního zákona rozhodující. Že instalace zařízení žalobce vyžadovala nějaký konstrukční zásah, dosvědčuje ostatně sám žalobce, pokud uvádí, že „zařízení bylo vyrobeno speciálně pro tento účel, pro dané umístění na vnitřní stranu skel“.</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S ohledem na výše podaný výklad pojmu „zařízení“ a s ohledem na zjištěný skutkový stav je nepřípadná námitka žalobce, že se nemohl dopustit porušení památkového zákona, neboť reklamní zařízení není umístěno na fasádě, není umístěno „na nemovitosti“, ale uvnitř nemovitosti, resp. že světelné LED panely jsou umístěny v interiéru jeho řádně pronajatých obchodních kancelářských prostor - v provozovně žalobce, v budově, která slouží jako kancelářská budova, a z této námitky plynoucí závěr, že každý, kdo užívá byt či nebytový prostor v budově v prostoru památkové rezervace města Prahy, by si tedy měl vyžádat souhlas odboru památkové péče s tím, aby si ve svém bytě či ve své provozovně mohl umístit barevnou LED televizi a sledovat na ní reklamy. Ze skutkových zjištění správního orgánu prvního stupně totiž jednoznačně vyplývá, že reklamní zařízení žalobce bylo umístěno bezprostředně pod vnějším opláštěním budovy, jež bylo provedeno transparentními skleněnými tabulemi, v meziprostoru mezi vnějším a vnitřním pláštěm budovy. Jde tak o situaci, kdy umístění reklamního zařízení využívá svébytného konstrukčního prvku dané budovy, je sice umístěno pod vnějším pláštěm, ale z hlediska funkčního jde o srovnatelnou situaci, jako kdyby bylo umístěno na vnějším plášti budovy. Konkrétní umístění zařízení v daném případě tedy rozhodně není srovnatelné se situací, kdy je LCD obrazovka umístěna uvnitř místnosti, jak žalobce ve svém poněkud „ad absurdum“ vyhroceném příkladu zmiňuje.</w:t>
      </w:r>
    </w:p>
    <w:p w:rsidR="009E793D" w:rsidRPr="009E793D" w:rsidRDefault="009E793D" w:rsidP="009E793D">
      <w:pPr>
        <w:pStyle w:val="Normlnweb"/>
        <w:spacing w:before="0" w:beforeAutospacing="0" w:after="0" w:afterAutospacing="0"/>
        <w:ind w:firstLine="567"/>
        <w:jc w:val="both"/>
        <w:rPr>
          <w:rFonts w:cstheme="minorBidi"/>
          <w:szCs w:val="22"/>
        </w:rPr>
      </w:pPr>
      <w:r w:rsidRPr="009E793D">
        <w:rPr>
          <w:rFonts w:cstheme="minorBidi"/>
          <w:szCs w:val="22"/>
        </w:rPr>
        <w:t xml:space="preserve">V této souvislosti lze poukázat na to, že podle čl. 60 odst. 1 vyhlášky č. 26/1999 Sb. HMP hlavního města Prahy o obecných technických požadavcích na výstavbu v hlavním městě Praze, jež byla účinná v době rozhodování správního orgánu prvního stupně, stavby a zařízení pro informace, reklamu a propagaci svým provedením a umístěním nesmějí porušovat vzhled města nebo krajiny, ohrožovat bezpečnost silničního provozu, bránit rozhledu na pozemních komunikacích a dráhách a nad přípustnou míru obtěžovat okolí, zejména obytné prostředí, hlukem nebo světlem, obzvláště přerušovaným; podle odst. 6 písm. a) téhož ustanovení stavby a zařízení pro informace, reklamu a propagaci umístěné na budovách pak nesmí rušit základní členění průčelí a jeho významné detaily. Z hlediska zájmů chráněných jak památkovým zákonem, tak zákonem stavebním, je v případě umisťování reklamních zařízení relevantní právě jejich vnější působení v kontextu s budovou, na níž jsou umisťovány. Z tohoto hlediska, má-li být tento chráněný zájem respektován, nelze jako rozhodnou skutečnost zohlednit to, že v případě žalobce pouze proto, že to umožňovalo specifické architektonické ztvárnění fasády nemovitosti, bylo reklamní zařízení umístěno bezprostředně pod vnějším pláštěm budovy. Jak v případě památkového zákona, tak v případě zákona stavebního je předmětem ochrany mj. estetická kvalita nemovitostí, jež jsou předmětem zásahu v podobě umístění reklamního zařízení. V případě budovy, v níž bylo zařízení žalobce umístěno, je významným estetickým prvkem, jak podrobně správní orgán prvního stupně ve svém rozhodnutí rozvedl, právě ztvárnění fasády jako jednolitého subtilního skleněného pláště („transparentní skleněný plášť tvarovaný půdorysně do křivky nehmotně definuje základní objem domu, přičemž jeho subtilní hladký vzhled je podtržen použitím zdvojené skleněné fasády“). Umístění reklamního zařízení do meziprostoru mezi takto zdvojenou skleněnou fasádou tedy nepochybně vnější vzhled budovy ovlivní a z </w:t>
      </w:r>
      <w:r w:rsidRPr="009E793D">
        <w:rPr>
          <w:rFonts w:cstheme="minorBidi"/>
          <w:szCs w:val="22"/>
        </w:rPr>
        <w:lastRenderedPageBreak/>
        <w:t xml:space="preserve">hlediska chráněných zájmů nelze takové umístění shledat obdobným jako umístění reklamního panelu uvnitř místnosti (či za výlohou apod.). </w:t>
      </w:r>
    </w:p>
    <w:p w:rsidR="00DA1931" w:rsidRPr="009E793D" w:rsidRDefault="009E793D" w:rsidP="009E793D">
      <w:pPr>
        <w:pStyle w:val="Normlnweb"/>
        <w:spacing w:before="0" w:beforeAutospacing="0" w:after="0" w:afterAutospacing="0"/>
        <w:ind w:firstLine="567"/>
        <w:jc w:val="both"/>
      </w:pPr>
      <w:r w:rsidRPr="009E793D">
        <w:rPr>
          <w:rFonts w:cstheme="minorBidi"/>
          <w:szCs w:val="22"/>
        </w:rPr>
        <w:t>Lze tak uzavřít, že sice neobstojí úvaha správního orgánu prvního stupně v tom smyslu, že pokud památkový zákon neobsahuje definici pojmu „zařízení“, pak je nutno vycházet „z úmyslu zákonodárce a účelu památkového zákona, jímž je zájem na tom, aby nebyl narušen vzhled Pražské památkové rezervace“, neboť takový přístup byl již výše uvedenou judikaturou odmítnut, nicméně sám závěr správního orgánu o tom, že zařízení umístěné žalobcem definiční znaky „zařízení“ podle § 14 odst. 2 památkového zákona ve spojení s § 3 odst. 2 stavebního zákona splňuje, obstojí a obstojí tedy rovněž závěr o naplnění skutkové podstaty správního deliktu podle § 35 odst. 1 písm. h) památkového zákona jednáním žalobce, jež bylo vymezeno ve výroku rozhodnutí správního orgánu prvního stupně.</w:t>
      </w:r>
    </w:p>
    <w:sectPr w:rsidR="00DA1931" w:rsidRPr="009E79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3D" w:rsidRDefault="009E793D" w:rsidP="009E793D">
      <w:r>
        <w:separator/>
      </w:r>
    </w:p>
  </w:endnote>
  <w:endnote w:type="continuationSeparator" w:id="0">
    <w:p w:rsidR="009E793D" w:rsidRDefault="009E793D" w:rsidP="009E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503870"/>
      <w:docPartObj>
        <w:docPartGallery w:val="Page Numbers (Bottom of Page)"/>
        <w:docPartUnique/>
      </w:docPartObj>
    </w:sdtPr>
    <w:sdtContent>
      <w:p w:rsidR="009E793D" w:rsidRDefault="009E793D">
        <w:pPr>
          <w:pStyle w:val="Zpat"/>
          <w:jc w:val="center"/>
        </w:pPr>
        <w:r>
          <w:fldChar w:fldCharType="begin"/>
        </w:r>
        <w:r>
          <w:instrText>PAGE   \* MERGEFORMAT</w:instrText>
        </w:r>
        <w:r>
          <w:fldChar w:fldCharType="separate"/>
        </w:r>
        <w:r>
          <w:rPr>
            <w:noProof/>
          </w:rPr>
          <w:t>1</w:t>
        </w:r>
        <w:r>
          <w:fldChar w:fldCharType="end"/>
        </w:r>
      </w:p>
    </w:sdtContent>
  </w:sdt>
  <w:p w:rsidR="009E793D" w:rsidRDefault="009E79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3D" w:rsidRDefault="009E793D" w:rsidP="009E793D">
      <w:r>
        <w:separator/>
      </w:r>
    </w:p>
  </w:footnote>
  <w:footnote w:type="continuationSeparator" w:id="0">
    <w:p w:rsidR="009E793D" w:rsidRDefault="009E793D" w:rsidP="009E7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3D"/>
    <w:rsid w:val="003240B0"/>
    <w:rsid w:val="009E793D"/>
    <w:rsid w:val="00E64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9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9E793D"/>
    <w:pPr>
      <w:keepNext/>
      <w:spacing w:before="240" w:after="120" w:line="240" w:lineRule="atLeast"/>
      <w:ind w:right="-624"/>
      <w:jc w:val="center"/>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E793D"/>
    <w:pPr>
      <w:spacing w:before="100" w:beforeAutospacing="1" w:after="100" w:afterAutospacing="1"/>
    </w:pPr>
    <w:rPr>
      <w:rFonts w:eastAsiaTheme="minorHAnsi"/>
    </w:rPr>
  </w:style>
  <w:style w:type="character" w:customStyle="1" w:styleId="Nadpis2Char">
    <w:name w:val="Nadpis 2 Char"/>
    <w:basedOn w:val="Standardnpsmoodstavce"/>
    <w:link w:val="Nadpis2"/>
    <w:rsid w:val="009E793D"/>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9E793D"/>
    <w:pPr>
      <w:tabs>
        <w:tab w:val="center" w:pos="4536"/>
        <w:tab w:val="right" w:pos="9072"/>
      </w:tabs>
    </w:pPr>
  </w:style>
  <w:style w:type="character" w:customStyle="1" w:styleId="ZhlavChar">
    <w:name w:val="Záhlaví Char"/>
    <w:basedOn w:val="Standardnpsmoodstavce"/>
    <w:link w:val="Zhlav"/>
    <w:uiPriority w:val="99"/>
    <w:rsid w:val="009E79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E793D"/>
    <w:pPr>
      <w:tabs>
        <w:tab w:val="center" w:pos="4536"/>
        <w:tab w:val="right" w:pos="9072"/>
      </w:tabs>
    </w:pPr>
  </w:style>
  <w:style w:type="character" w:customStyle="1" w:styleId="ZpatChar">
    <w:name w:val="Zápatí Char"/>
    <w:basedOn w:val="Standardnpsmoodstavce"/>
    <w:link w:val="Zpat"/>
    <w:uiPriority w:val="99"/>
    <w:rsid w:val="009E79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79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9E793D"/>
    <w:pPr>
      <w:keepNext/>
      <w:spacing w:before="240" w:after="120" w:line="240" w:lineRule="atLeast"/>
      <w:ind w:right="-624"/>
      <w:jc w:val="center"/>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E793D"/>
    <w:pPr>
      <w:spacing w:before="100" w:beforeAutospacing="1" w:after="100" w:afterAutospacing="1"/>
    </w:pPr>
    <w:rPr>
      <w:rFonts w:eastAsiaTheme="minorHAnsi"/>
    </w:rPr>
  </w:style>
  <w:style w:type="character" w:customStyle="1" w:styleId="Nadpis2Char">
    <w:name w:val="Nadpis 2 Char"/>
    <w:basedOn w:val="Standardnpsmoodstavce"/>
    <w:link w:val="Nadpis2"/>
    <w:rsid w:val="009E793D"/>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9E793D"/>
    <w:pPr>
      <w:tabs>
        <w:tab w:val="center" w:pos="4536"/>
        <w:tab w:val="right" w:pos="9072"/>
      </w:tabs>
    </w:pPr>
  </w:style>
  <w:style w:type="character" w:customStyle="1" w:styleId="ZhlavChar">
    <w:name w:val="Záhlaví Char"/>
    <w:basedOn w:val="Standardnpsmoodstavce"/>
    <w:link w:val="Zhlav"/>
    <w:uiPriority w:val="99"/>
    <w:rsid w:val="009E79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E793D"/>
    <w:pPr>
      <w:tabs>
        <w:tab w:val="center" w:pos="4536"/>
        <w:tab w:val="right" w:pos="9072"/>
      </w:tabs>
    </w:pPr>
  </w:style>
  <w:style w:type="character" w:customStyle="1" w:styleId="ZpatChar">
    <w:name w:val="Zápatí Char"/>
    <w:basedOn w:val="Standardnpsmoodstavce"/>
    <w:link w:val="Zpat"/>
    <w:uiPriority w:val="99"/>
    <w:rsid w:val="009E79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1357</Words>
  <Characters>8008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sl. Kvasničková</cp:lastModifiedBy>
  <cp:revision>1</cp:revision>
  <dcterms:created xsi:type="dcterms:W3CDTF">2017-01-06T15:25:00Z</dcterms:created>
  <dcterms:modified xsi:type="dcterms:W3CDTF">2017-01-06T15:33:00Z</dcterms:modified>
</cp:coreProperties>
</file>