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02" w:rsidRPr="00BC6735" w:rsidRDefault="00EE0502" w:rsidP="00EE0502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47"/>
      <w:bookmarkStart w:id="1" w:name="_Toc401223746"/>
      <w:bookmarkStart w:id="2" w:name="_GoBack"/>
      <w:bookmarkEnd w:id="2"/>
      <w:r w:rsidRPr="00BC6735">
        <w:rPr>
          <w:b/>
        </w:rPr>
        <w:t xml:space="preserve">Usnesení rozšířeného senátu Nejvyššího správního soudu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5 As 126/2011 – 68 ze 14</w:t>
      </w:r>
      <w:r>
        <w:rPr>
          <w:b/>
        </w:rPr>
        <w:t xml:space="preserve">. </w:t>
      </w:r>
      <w:r w:rsidRPr="00BC6735">
        <w:rPr>
          <w:b/>
        </w:rPr>
        <w:t>1</w:t>
      </w:r>
      <w:r>
        <w:rPr>
          <w:b/>
        </w:rPr>
        <w:t xml:space="preserve">. </w:t>
      </w:r>
      <w:r w:rsidRPr="00BC6735">
        <w:rPr>
          <w:b/>
        </w:rPr>
        <w:t>2014 (B113)</w:t>
      </w:r>
      <w:bookmarkEnd w:id="0"/>
      <w:bookmarkEnd w:id="1"/>
    </w:p>
    <w:p w:rsidR="00EE0502" w:rsidRPr="008D440C" w:rsidRDefault="00EE0502" w:rsidP="00EE0502">
      <w:pPr>
        <w:tabs>
          <w:tab w:val="left" w:pos="0"/>
        </w:tabs>
        <w:jc w:val="both"/>
      </w:pPr>
      <w:r w:rsidRPr="008D440C">
        <w:tab/>
        <w:t>… pokud existuje rozumná pochybnost, tzn</w:t>
      </w:r>
      <w:r>
        <w:t xml:space="preserve">. </w:t>
      </w:r>
      <w:r w:rsidRPr="008D440C">
        <w:t xml:space="preserve">ne zcela nepravděpodobná možnost, že deliktního jednání se dopustil někdo jiný než obviněný z přestupku, nelze jej za přestupek postihnout (in </w:t>
      </w:r>
      <w:proofErr w:type="spellStart"/>
      <w:r w:rsidRPr="008D440C">
        <w:t>dubio</w:t>
      </w:r>
      <w:proofErr w:type="spellEnd"/>
      <w:r w:rsidRPr="008D440C">
        <w:t xml:space="preserve"> pro </w:t>
      </w:r>
      <w:proofErr w:type="spellStart"/>
      <w:r w:rsidRPr="008D440C">
        <w:t>reo</w:t>
      </w:r>
      <w:proofErr w:type="spellEnd"/>
      <w:r w:rsidRPr="008D440C">
        <w:t>)</w:t>
      </w:r>
      <w:r>
        <w:t xml:space="preserve">. </w:t>
      </w:r>
      <w:r w:rsidRPr="008D440C">
        <w:t>Povinnost prokázat přestupek obviněnému má správní orgán</w:t>
      </w:r>
      <w:r>
        <w:t xml:space="preserve">. </w:t>
      </w:r>
    </w:p>
    <w:p w:rsidR="00EE0502" w:rsidRPr="008D440C" w:rsidRDefault="00EE0502" w:rsidP="00EE0502">
      <w:pPr>
        <w:tabs>
          <w:tab w:val="left" w:pos="0"/>
        </w:tabs>
        <w:jc w:val="both"/>
      </w:pPr>
      <w:r w:rsidRPr="008D440C">
        <w:t>Obviněný z přestupku není povinen se hájit, zejména není povinen uvádět na svou obhajobu jakákoliv tvrzení, ani (anebo) o nich (nebo o jiných skutečnostech) nabízet a předkládat správnímu orgánu důkazy; ustanovení § 52 věta první správního řádu o povinnosti účastníka řízení označit důkazy na podporu svých tvrzení se v řízení o přestupku neuplatní</w:t>
      </w:r>
      <w:r>
        <w:t xml:space="preserve">. </w:t>
      </w:r>
      <w:r w:rsidRPr="008D440C">
        <w:t>Využije-li však obviněný ze spáchání přestupku svého práva mlčet, nelze extenzivním výkladem uložit správnímu orgánu povinnost, aby za obviněného „domyslel“ všechna myslitelná nebo třebas i</w:t>
      </w:r>
      <w:r>
        <w:t> </w:t>
      </w:r>
      <w:r w:rsidRPr="008D440C">
        <w:t>nepravděpodobná tvrzení a v rozhodnutí se s nimi vypořádal</w:t>
      </w:r>
      <w:r>
        <w:t xml:space="preserve">. </w:t>
      </w:r>
    </w:p>
    <w:p w:rsidR="00EE0502" w:rsidRPr="008D440C" w:rsidRDefault="00EE0502" w:rsidP="00EE0502">
      <w:pPr>
        <w:tabs>
          <w:tab w:val="left" w:pos="0"/>
        </w:tabs>
        <w:jc w:val="both"/>
      </w:pPr>
      <w:r w:rsidRPr="008D440C">
        <w:tab/>
        <w:t>Jiná je ovšem situace v případě tzv</w:t>
      </w:r>
      <w:r>
        <w:t xml:space="preserve">. </w:t>
      </w:r>
      <w:r w:rsidRPr="008D440C">
        <w:t>aktivní obhajoby</w:t>
      </w:r>
      <w:r>
        <w:t xml:space="preserve">. </w:t>
      </w:r>
      <w:r w:rsidRPr="008D440C">
        <w:t>Uvede-li obviněný v řízení tvrzení ke skutkovým okolnostem případu a navrhne k jejich prokázání důkazy, je správní orgán povinen se řádně vypořádat jak s těmito tvrzeními, tak i s nabízenými důkazy</w:t>
      </w:r>
      <w:r>
        <w:t xml:space="preserve">. </w:t>
      </w:r>
      <w:r w:rsidRPr="008D440C">
        <w:t>To</w:t>
      </w:r>
      <w:r>
        <w:t> </w:t>
      </w:r>
      <w:r w:rsidRPr="008D440C">
        <w:t>samozřejmě neznamená, že musí všechna tvrzení prověřit a nabízené důkazy provést</w:t>
      </w:r>
      <w:r>
        <w:t xml:space="preserve">. </w:t>
      </w:r>
      <w:r w:rsidRPr="008D440C">
        <w:t>Pokud to však neučiní, musí svůj závěr přezkoumatelným způsobem vysvětlit</w:t>
      </w:r>
      <w:r>
        <w:t xml:space="preserve">. </w:t>
      </w:r>
      <w:r w:rsidRPr="008D440C">
        <w:t>V řízení o</w:t>
      </w:r>
      <w:r>
        <w:t> </w:t>
      </w:r>
      <w:r w:rsidRPr="008D440C">
        <w:t>přestupku přece postupuje správní orgán tak, aby byl zjištěn stav věci, o němž nejsou důvodné pochybnosti, a to v rozsahu potřebném pro rozhodnutí o přestupku (§ 3 správního řádu)</w:t>
      </w:r>
      <w:r>
        <w:t xml:space="preserve">. </w:t>
      </w:r>
    </w:p>
    <w:p w:rsidR="00EE0502" w:rsidRPr="008D440C" w:rsidRDefault="00EE0502" w:rsidP="00EE0502">
      <w:pPr>
        <w:tabs>
          <w:tab w:val="left" w:pos="0"/>
        </w:tabs>
        <w:jc w:val="both"/>
      </w:pPr>
      <w:r w:rsidRPr="008D440C">
        <w:tab/>
        <w:t>V řízení o správním deliktu se neužije § 82 odst</w:t>
      </w:r>
      <w:r>
        <w:t xml:space="preserve">. </w:t>
      </w:r>
      <w:r w:rsidRPr="008D440C">
        <w:t>4 správního řádu (koncentrace řízení)</w:t>
      </w:r>
      <w:r>
        <w:t xml:space="preserve">. </w:t>
      </w:r>
      <w:r w:rsidRPr="008D440C">
        <w:t>Obviněný v tomto řízení může uplatňovat nové skutečnosti a navrhovat nové důkazy i</w:t>
      </w:r>
      <w:r>
        <w:t> </w:t>
      </w:r>
      <w:r w:rsidRPr="008D440C">
        <w:t>v odvolání a správní orgán nemůže odmítnout provést navržené důkazy pouze s poukazem na to, že nebyly navrženy v řízení v prvním stupni</w:t>
      </w:r>
      <w:r>
        <w:t xml:space="preserve">. </w:t>
      </w:r>
    </w:p>
    <w:p w:rsidR="00EE0502" w:rsidRPr="008D440C" w:rsidRDefault="00EE0502" w:rsidP="00EE0502">
      <w:pPr>
        <w:tabs>
          <w:tab w:val="left" w:pos="0"/>
        </w:tabs>
        <w:jc w:val="both"/>
      </w:pPr>
      <w:r w:rsidRPr="008D440C">
        <w:tab/>
        <w:t xml:space="preserve">Rozšířený senát tak uzavírá, že „důkazní břemeno“ </w:t>
      </w:r>
      <w:r>
        <w:t>k prokázání, že jednání mající</w:t>
      </w:r>
      <w:r w:rsidRPr="008D440C">
        <w:t xml:space="preserve"> znaky skutkové podstaty přestupku se dopustil obviněný z přestupku, nese i v otázce zavinění správní orgán</w:t>
      </w:r>
      <w:r>
        <w:t xml:space="preserve">. </w:t>
      </w:r>
    </w:p>
    <w:p w:rsidR="001C63A3" w:rsidRPr="00EE0502" w:rsidRDefault="001C63A3" w:rsidP="00EE0502"/>
    <w:sectPr w:rsidR="001C63A3" w:rsidRPr="00EE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22781"/>
    <w:rsid w:val="004508F6"/>
    <w:rsid w:val="0047138D"/>
    <w:rsid w:val="005843C9"/>
    <w:rsid w:val="006C7007"/>
    <w:rsid w:val="006D2D75"/>
    <w:rsid w:val="0077417A"/>
    <w:rsid w:val="007A0884"/>
    <w:rsid w:val="007D1139"/>
    <w:rsid w:val="00903111"/>
    <w:rsid w:val="009A2FF3"/>
    <w:rsid w:val="009E2879"/>
    <w:rsid w:val="00A91B34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EE0502"/>
    <w:rsid w:val="00F048CB"/>
    <w:rsid w:val="00F12DAF"/>
    <w:rsid w:val="00F31BF0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2017-05-04T08:37:00Z</dcterms:created>
  <dcterms:modified xsi:type="dcterms:W3CDTF">2017-05-04T08:37:00Z</dcterms:modified>
</cp:coreProperties>
</file>