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BE" w:rsidRPr="00EE7ABE" w:rsidRDefault="00EE7ABE" w:rsidP="00EE7ABE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  <w:szCs w:val="24"/>
        </w:rPr>
      </w:pPr>
      <w:bookmarkStart w:id="0" w:name="_GoBack"/>
      <w:bookmarkEnd w:id="0"/>
      <w:r w:rsidRPr="00EE7ABE">
        <w:rPr>
          <w:b/>
          <w:szCs w:val="24"/>
        </w:rPr>
        <w:t xml:space="preserve">Rozsudek Městského soudu v Praze </w:t>
      </w:r>
      <w:proofErr w:type="spellStart"/>
      <w:r w:rsidRPr="00EE7ABE">
        <w:rPr>
          <w:b/>
          <w:szCs w:val="24"/>
        </w:rPr>
        <w:t>sp</w:t>
      </w:r>
      <w:proofErr w:type="spellEnd"/>
      <w:r w:rsidRPr="00EE7ABE">
        <w:rPr>
          <w:b/>
          <w:szCs w:val="24"/>
        </w:rPr>
        <w:t>. zn. 5 A 242/2010 – 42 z 3. 12. 2014 (D099)</w:t>
      </w:r>
    </w:p>
    <w:p w:rsidR="00EE7ABE" w:rsidRPr="00EE7ABE" w:rsidRDefault="00EE7ABE" w:rsidP="00EE7ABE">
      <w:pPr>
        <w:tabs>
          <w:tab w:val="left" w:pos="0"/>
        </w:tabs>
        <w:jc w:val="both"/>
      </w:pPr>
      <w:r w:rsidRPr="00EE7ABE">
        <w:tab/>
        <w:t>Odpovědnost za spáchaný delikt, stejně jako odpovědnost za jakýkoli tzv. jiný správní delikt, je odpovědností objektivní a delikvent se jí nemůže zprostit poukazem na pochybení jiné osoby, se kterou byl ve smluvním vztahu. Žalobce by se mohl nanejvýš domáhat od Ing. arch. H. odškodnění prostředky soukromého práva; nemůže však na něj přenášet své veřejnoprávní povinnosti a svou veřejnoprávní odpovědnost, která jej tíží jako stavebníka.</w:t>
      </w:r>
    </w:p>
    <w:p w:rsidR="00811B22" w:rsidRPr="00EE7ABE" w:rsidRDefault="00EE7ABE" w:rsidP="00EE7ABE">
      <w:pPr>
        <w:jc w:val="both"/>
      </w:pPr>
      <w:r w:rsidRPr="00EE7ABE">
        <w:tab/>
        <w:t xml:space="preserve">Je pravda, že zákon nedefinuje pojem území s archeologickými nálezy; z toho však nelze dovozovat, jak to činí žalobce, že takové území může vymezit jen nařízení </w:t>
      </w:r>
      <w:proofErr w:type="gramStart"/>
      <w:r w:rsidRPr="00EE7ABE">
        <w:t>kraje. ... Nelze</w:t>
      </w:r>
      <w:proofErr w:type="gramEnd"/>
      <w:r w:rsidRPr="00EE7ABE">
        <w:t xml:space="preserve"> přijmout myšlenku nastíněnou v žalobě, totiž že by stavebníkovi něco mělo „objektivně signalizovat“ možnost archeologických nálezů. ... Podle Státního archeologického seznamu České republiky (informační systém o území s archeologickými nálezy spravovaný Národním památkovým ústavem) lze za území s archeologickými nálezy považovat prostor, kde již byly registrovány jakékoli archeologické nálezy movité či nemovité povahy, a rovněž tak prostor, kde je možné vzhledem k přírodním podmínkám či dosavadnímu historickému vývoji tyto nálezy s vysokou pravděpodobností očekávat. Kdyby bylo vydáno nařízení kraje, stavebníkům by to usnadnilo situaci; není-li však nařízení kraje vydáno, musí stavebník z opatrnosti předpokládat, že archeologické nálezy nejsou vyloučeny.</w:t>
      </w:r>
    </w:p>
    <w:sectPr w:rsidR="00811B22" w:rsidRPr="00EE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E"/>
    <w:rsid w:val="007D2A3A"/>
    <w:rsid w:val="00811B22"/>
    <w:rsid w:val="00A352BD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E7ABE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E7ABE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7AB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E7AB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7AB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7AB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E7AB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E7AB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E7AB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ABE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E7A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E7AB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E7AB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E7AB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E7AB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E7AB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E7AB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E7ABE"/>
    <w:rPr>
      <w:rFonts w:ascii="Cambria" w:eastAsia="Times New Roman" w:hAnsi="Cambr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E7ABE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E7ABE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7AB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E7AB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7AB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E7AB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E7AB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E7AB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E7AB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ABE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E7AB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E7AB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E7AB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E7ABE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E7AB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E7AB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E7AB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E7ABE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P.N. F.Adámek č. 6</cp:lastModifiedBy>
  <cp:revision>2</cp:revision>
  <dcterms:created xsi:type="dcterms:W3CDTF">2017-05-04T08:24:00Z</dcterms:created>
  <dcterms:modified xsi:type="dcterms:W3CDTF">2017-05-04T08:24:00Z</dcterms:modified>
</cp:coreProperties>
</file>