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BC" w:rsidRPr="00870BBC" w:rsidRDefault="00870BBC" w:rsidP="00870BBC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  <w:color w:val="000000" w:themeColor="text1"/>
        </w:rPr>
      </w:pPr>
      <w:r w:rsidRPr="00870BBC">
        <w:rPr>
          <w:b/>
          <w:color w:val="000000" w:themeColor="text1"/>
        </w:rPr>
        <w:t xml:space="preserve">Rozsudek Krajského soudu v Praze </w:t>
      </w:r>
      <w:proofErr w:type="spellStart"/>
      <w:r w:rsidRPr="00870BBC">
        <w:rPr>
          <w:b/>
          <w:color w:val="000000" w:themeColor="text1"/>
        </w:rPr>
        <w:t>sp</w:t>
      </w:r>
      <w:proofErr w:type="spellEnd"/>
      <w:r w:rsidRPr="00870BBC">
        <w:rPr>
          <w:b/>
          <w:color w:val="000000" w:themeColor="text1"/>
        </w:rPr>
        <w:t>. zn. 51 A 21/2013 - 46 z 9. 11. 2015 (D126)</w:t>
      </w:r>
    </w:p>
    <w:p w:rsidR="00870BBC" w:rsidRPr="00870BBC" w:rsidRDefault="00870BBC" w:rsidP="00870BBC">
      <w:pPr>
        <w:ind w:firstLine="708"/>
        <w:jc w:val="both"/>
        <w:rPr>
          <w:color w:val="000000" w:themeColor="text1"/>
        </w:rPr>
      </w:pPr>
      <w:r w:rsidRPr="00870BBC">
        <w:rPr>
          <w:color w:val="000000" w:themeColor="text1"/>
        </w:rPr>
        <w:t>V oznámení bylo uvedeno, čeho se měl žalobce dopustit a rovněž to, že mu může být uložena pokuta podle ustanovení § 39 odst. 1 písm. g) památkového zákona. … Soud má tedy za to, že z oznámení jako celku, především z odkazu na citované ustanovení památkového zákona je zcela zřejmé, že řízení, jež bylo se žalobcem zahajováno, je řízením přestupkovým.</w:t>
      </w:r>
    </w:p>
    <w:p w:rsidR="00870BBC" w:rsidRPr="00870BBC" w:rsidRDefault="00870BBC" w:rsidP="00870BBC">
      <w:pPr>
        <w:ind w:firstLine="708"/>
        <w:jc w:val="both"/>
        <w:rPr>
          <w:color w:val="000000" w:themeColor="text1"/>
        </w:rPr>
      </w:pPr>
      <w:r w:rsidRPr="00870BBC">
        <w:rPr>
          <w:color w:val="000000" w:themeColor="text1"/>
        </w:rPr>
        <w:t xml:space="preserve">Žalobce dále namítl, že správní orgán prvního stupně prováděl dokazování až po ústním jednání, čímž odepřel žalobci možnost reagovat na důkazy při ústním jednání. Tato námitka je důvodná. V projednávané věci je nesporné, že na ústním jednání dne 14. 12. 2012 nebyly předloženy správním orgánem prvního stupně žádné důkazy, které byly získány až následně. … Provedl-li tedy některé důkazy mimo ústní jednání s odkazem na § 51 odst. 2 správního řádu, aplikoval na řízení právní normu, která na přestupkové řízení nedopadá, neboť úprava přestupkového řízení je lex </w:t>
      </w:r>
      <w:proofErr w:type="spellStart"/>
      <w:r w:rsidRPr="00870BBC">
        <w:rPr>
          <w:color w:val="000000" w:themeColor="text1"/>
        </w:rPr>
        <w:t>specialis</w:t>
      </w:r>
      <w:proofErr w:type="spellEnd"/>
      <w:r w:rsidRPr="00870BBC">
        <w:rPr>
          <w:color w:val="000000" w:themeColor="text1"/>
        </w:rPr>
        <w:t xml:space="preserve"> k obecné úpravě správního řízení podle správního řádu.</w:t>
      </w:r>
    </w:p>
    <w:p w:rsidR="00870BBC" w:rsidRPr="00870BBC" w:rsidRDefault="00870BBC" w:rsidP="00870BBC">
      <w:pPr>
        <w:ind w:firstLine="708"/>
        <w:jc w:val="both"/>
        <w:rPr>
          <w:color w:val="000000" w:themeColor="text1"/>
        </w:rPr>
      </w:pPr>
      <w:r w:rsidRPr="00870BBC">
        <w:rPr>
          <w:color w:val="000000" w:themeColor="text1"/>
        </w:rPr>
        <w:t xml:space="preserve">Žalobce dále namítl porušení zásady </w:t>
      </w:r>
      <w:proofErr w:type="spellStart"/>
      <w:r w:rsidRPr="00870BBC">
        <w:rPr>
          <w:color w:val="000000" w:themeColor="text1"/>
        </w:rPr>
        <w:t>nemo</w:t>
      </w:r>
      <w:proofErr w:type="spellEnd"/>
      <w:r w:rsidRPr="00870BBC">
        <w:rPr>
          <w:color w:val="000000" w:themeColor="text1"/>
        </w:rPr>
        <w:t xml:space="preserve"> </w:t>
      </w:r>
      <w:proofErr w:type="spellStart"/>
      <w:r w:rsidRPr="00870BBC">
        <w:rPr>
          <w:color w:val="000000" w:themeColor="text1"/>
        </w:rPr>
        <w:t>tenetur</w:t>
      </w:r>
      <w:proofErr w:type="spellEnd"/>
      <w:r w:rsidRPr="00870BBC">
        <w:rPr>
          <w:color w:val="000000" w:themeColor="text1"/>
        </w:rPr>
        <w:t>. I této námitce soud přisvědčil. V projednávané věci je nesporné, že žalobce byl vyzván k předložení několika listin a zároveň mu bylo sděleno, že v případě neuposlec</w:t>
      </w:r>
      <w:bookmarkStart w:id="0" w:name="_GoBack"/>
      <w:bookmarkEnd w:id="0"/>
      <w:r w:rsidRPr="00870BBC">
        <w:rPr>
          <w:color w:val="000000" w:themeColor="text1"/>
        </w:rPr>
        <w:t>hnutí mu může být uložena pořádková pokuta. Tento postup správního orgánu prvního stupně pokládá soud za vůbec nejzásadnější vadu celého řízení, jelikož se jedná o zcela evidentní porušení ústavněprávní zásady (vyjádřené rovněž v ustanovení § 73 zákona o přestupcích</w:t>
      </w:r>
      <w:r w:rsidR="004C1D47">
        <w:rPr>
          <w:color w:val="000000" w:themeColor="text1"/>
        </w:rPr>
        <w:t xml:space="preserve"> </w:t>
      </w:r>
      <w:r w:rsidR="004C1D47">
        <w:rPr>
          <w:i/>
          <w:color w:val="0000FF"/>
          <w:lang w:val="en-US"/>
        </w:rPr>
        <w:t>[</w:t>
      </w:r>
      <w:r w:rsidR="004C1D47" w:rsidRPr="004C1D47">
        <w:rPr>
          <w:i/>
          <w:color w:val="0000FF"/>
        </w:rPr>
        <w:t xml:space="preserve">tuto zásadu nově obsahuje ustanovení </w:t>
      </w:r>
      <w:r w:rsidR="004C1D47" w:rsidRPr="00993A7F">
        <w:rPr>
          <w:i/>
          <w:color w:val="0000FF"/>
        </w:rPr>
        <w:t xml:space="preserve">§ 82 odst. 2 věta druhá </w:t>
      </w:r>
      <w:proofErr w:type="spellStart"/>
      <w:r w:rsidR="004C1D47" w:rsidRPr="00993A7F">
        <w:rPr>
          <w:i/>
          <w:color w:val="0000FF"/>
        </w:rPr>
        <w:t>NPřestZ</w:t>
      </w:r>
      <w:proofErr w:type="spellEnd"/>
      <w:r w:rsidR="004C1D47" w:rsidRPr="00993A7F">
        <w:rPr>
          <w:i/>
          <w:color w:val="0000FF"/>
        </w:rPr>
        <w:t>, poznámka vydavatele</w:t>
      </w:r>
      <w:r w:rsidR="004C1D47">
        <w:rPr>
          <w:i/>
          <w:color w:val="0000FF"/>
          <w:lang w:val="en-US"/>
        </w:rPr>
        <w:t>]</w:t>
      </w:r>
      <w:r w:rsidRPr="00870BBC">
        <w:rPr>
          <w:color w:val="000000" w:themeColor="text1"/>
        </w:rPr>
        <w:t xml:space="preserve">) </w:t>
      </w:r>
      <w:proofErr w:type="spellStart"/>
      <w:r w:rsidRPr="00870BBC">
        <w:rPr>
          <w:color w:val="000000" w:themeColor="text1"/>
        </w:rPr>
        <w:t>nemo</w:t>
      </w:r>
      <w:proofErr w:type="spellEnd"/>
      <w:r w:rsidRPr="00870BBC">
        <w:rPr>
          <w:color w:val="000000" w:themeColor="text1"/>
        </w:rPr>
        <w:t xml:space="preserve"> </w:t>
      </w:r>
      <w:proofErr w:type="spellStart"/>
      <w:r w:rsidRPr="00870BBC">
        <w:rPr>
          <w:color w:val="000000" w:themeColor="text1"/>
        </w:rPr>
        <w:t>tenetur</w:t>
      </w:r>
      <w:proofErr w:type="spellEnd"/>
      <w:r w:rsidRPr="00870BBC">
        <w:rPr>
          <w:color w:val="000000" w:themeColor="text1"/>
        </w:rPr>
        <w:t>, podle které není obviněný povinen poskytovat součinnost při svém usvědčení.</w:t>
      </w:r>
    </w:p>
    <w:p w:rsidR="00811B22" w:rsidRPr="00870BBC" w:rsidRDefault="00870BBC" w:rsidP="00870BBC">
      <w:pPr>
        <w:ind w:firstLine="708"/>
        <w:jc w:val="both"/>
        <w:rPr>
          <w:color w:val="000000" w:themeColor="text1"/>
        </w:rPr>
      </w:pPr>
      <w:r w:rsidRPr="00870BBC">
        <w:rPr>
          <w:color w:val="000000" w:themeColor="text1"/>
        </w:rPr>
        <w:t>Žalovaný důvodnost této námitky ostatně ve svém vyjádření k žalobě sám uznal, když připustil, že právní zástupce žalobce se z jednání řádně omluvil, přičemž o důvodnosti této omluvy soud ani účastníci nepochybují. Postup žalovaného, který ústní jednání přesto provedl, pak nelze hodnotit jinak, než jako další zásah do žalobcova práva na spravedlivý proces.</w:t>
      </w:r>
    </w:p>
    <w:sectPr w:rsidR="00811B22" w:rsidRPr="0087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B"/>
    <w:rsid w:val="004C1D47"/>
    <w:rsid w:val="00811B22"/>
    <w:rsid w:val="00870BBC"/>
    <w:rsid w:val="008B718B"/>
    <w:rsid w:val="00993A7F"/>
    <w:rsid w:val="00A352BD"/>
    <w:rsid w:val="00D2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2429B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D2429B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429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429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2429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2429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2429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2429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2429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429B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242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2429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2429B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2429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2429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2429B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2429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2429B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D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D2429B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D2429B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429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429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2429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2429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2429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2429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2429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429B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242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2429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2429B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2429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2429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2429B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2429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2429B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D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Michal Tupý</cp:lastModifiedBy>
  <cp:revision>4</cp:revision>
  <dcterms:created xsi:type="dcterms:W3CDTF">2016-11-14T15:52:00Z</dcterms:created>
  <dcterms:modified xsi:type="dcterms:W3CDTF">2017-07-25T07:14:00Z</dcterms:modified>
</cp:coreProperties>
</file>