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A1" w:rsidRDefault="001118A1" w:rsidP="001118A1">
      <w:pPr>
        <w:pStyle w:val="Default"/>
      </w:pPr>
    </w:p>
    <w:tbl>
      <w:tblPr>
        <w:tblW w:w="978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8"/>
        <w:gridCol w:w="4760"/>
        <w:gridCol w:w="1843"/>
      </w:tblGrid>
      <w:tr w:rsidR="001118A1" w:rsidTr="00975F8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781" w:type="dxa"/>
            <w:gridSpan w:val="3"/>
            <w:shd w:val="clear" w:color="auto" w:fill="FABF8F" w:themeFill="accent6" w:themeFillTint="99"/>
          </w:tcPr>
          <w:p w:rsidR="001118A1" w:rsidRDefault="001118A1" w:rsidP="004826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Projekty podpořené v roce 2017 Program „Podpora výchovně vzdělávacích aktivit v muzejnictví“ </w:t>
            </w:r>
            <w:r w:rsidR="00975F81"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t>pro rok 2017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schválená dotace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781" w:type="dxa"/>
            <w:gridSpan w:val="3"/>
            <w:shd w:val="clear" w:color="auto" w:fill="B2A1C7" w:themeFill="accent4" w:themeFillTint="99"/>
          </w:tcPr>
          <w:p w:rsidR="001118A1" w:rsidRDefault="001118A1" w:rsidP="004826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matický okruh 1. Edukační aktivity v rámci muzejních expozic ze sbírek evidovaných v Centrální evidenci sbírek muzejní povahy Ministerstva kultury (CES).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Jihomoravské muzeum ve Znojmě </w:t>
            </w:r>
            <w:proofErr w:type="spellStart"/>
            <w:proofErr w:type="gramStart"/>
            <w:r>
              <w:rPr>
                <w:sz w:val="22"/>
                <w:szCs w:val="22"/>
              </w:rPr>
              <w:t>p.o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příběhem znojemským muzeem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Muzeum Vyškovska </w:t>
            </w:r>
            <w:proofErr w:type="spellStart"/>
            <w:proofErr w:type="gramStart"/>
            <w:r>
              <w:rPr>
                <w:sz w:val="22"/>
                <w:szCs w:val="22"/>
              </w:rPr>
              <w:t>p.o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Středověk hravě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Západočeské muzeum v Plzni </w:t>
            </w:r>
            <w:proofErr w:type="spellStart"/>
            <w:proofErr w:type="gramStart"/>
            <w:r>
              <w:rPr>
                <w:sz w:val="22"/>
                <w:szCs w:val="22"/>
              </w:rPr>
              <w:t>p.o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Výukové programy Příběh na </w:t>
            </w:r>
            <w:proofErr w:type="gramStart"/>
            <w:r>
              <w:rPr>
                <w:sz w:val="22"/>
                <w:szCs w:val="22"/>
              </w:rPr>
              <w:t>niti I,II</w:t>
            </w:r>
            <w:proofErr w:type="gramEnd"/>
            <w:r>
              <w:rPr>
                <w:sz w:val="22"/>
                <w:szCs w:val="22"/>
              </w:rPr>
              <w:t>,III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Západočeské muzeum v Plzni </w:t>
            </w:r>
            <w:proofErr w:type="spellStart"/>
            <w:proofErr w:type="gramStart"/>
            <w:r>
              <w:rPr>
                <w:sz w:val="22"/>
                <w:szCs w:val="22"/>
              </w:rPr>
              <w:t>p.o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Pracov</w:t>
            </w:r>
            <w:r w:rsidR="00975F81">
              <w:rPr>
                <w:sz w:val="22"/>
                <w:szCs w:val="22"/>
              </w:rPr>
              <w:t>ní listy ke stálým expozicím Ar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cheologie </w:t>
            </w:r>
            <w:r w:rsidR="00975F8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a Historie, pomůcky k výukovým programům ZČM 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Vlastivědné muzeum a galerie </w:t>
            </w:r>
            <w:r w:rsidR="004826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v České Lípě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 pro děti aneb Kufr plný překvapení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Provincie kapucínů v ČR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Objevte svůj loretánský poklad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 hl. m. Prahy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Langweilova</w:t>
            </w:r>
            <w:proofErr w:type="spellEnd"/>
            <w:r>
              <w:rPr>
                <w:sz w:val="22"/>
                <w:szCs w:val="22"/>
              </w:rPr>
              <w:t xml:space="preserve"> Praha a Praha 1848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Středočeské muzeum </w:t>
            </w:r>
            <w:r w:rsidR="004826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v Roztokách u Prahy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Roztocké dominium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Muzeum východních Čech </w:t>
            </w:r>
            <w:r w:rsidR="004826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v Hradci Králové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Muzejní zoologické exkurze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Regionální muzeum a galerie </w:t>
            </w:r>
            <w:r w:rsidR="004826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v Jičíně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Platidla v průběhu věků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Galerie výtvarného umění </w:t>
            </w:r>
            <w:r w:rsidR="004826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v Náchodě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kufříkem do galerie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Městské centrum kultury </w:t>
            </w:r>
            <w:r w:rsidR="004826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a vzdělávání </w:t>
            </w:r>
            <w:proofErr w:type="spellStart"/>
            <w:proofErr w:type="gramStart"/>
            <w:r>
              <w:rPr>
                <w:sz w:val="22"/>
                <w:szCs w:val="22"/>
              </w:rPr>
              <w:t>p.o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 w:rsidR="004826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4826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Městské muzeum Týn nad Vltavou 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Vltavotýnskem</w:t>
            </w:r>
            <w:proofErr w:type="spellEnd"/>
            <w:r>
              <w:rPr>
                <w:sz w:val="22"/>
                <w:szCs w:val="22"/>
              </w:rPr>
              <w:t xml:space="preserve"> s rytířem </w:t>
            </w:r>
            <w:proofErr w:type="spellStart"/>
            <w:r>
              <w:rPr>
                <w:sz w:val="22"/>
                <w:szCs w:val="22"/>
              </w:rPr>
              <w:t>Čabelickým</w:t>
            </w:r>
            <w:proofErr w:type="spellEnd"/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 Kroměřížska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Voňavá kouzla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Severočeské muzeum v Liberci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Lektorské programy ke stálým expozicím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 regionu Valašsko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pračlověka k archeologovi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Slovácké muzeum v Uherském Hradišti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Tradiční rukodělná výroba na Slovácku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Regionální muzeum v Litomyšli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Putování do Betléma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 města Brna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pracovní listy pro historické expozice Muzea města Brna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Muzeum východních Čech </w:t>
            </w:r>
            <w:r w:rsidR="004826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v Hradci Králové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 války 1866 pro děti a školní kolektivy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Galerie středočeského kraje, </w:t>
            </w:r>
            <w:proofErr w:type="spellStart"/>
            <w:proofErr w:type="gramStart"/>
            <w:r>
              <w:rPr>
                <w:sz w:val="22"/>
                <w:szCs w:val="22"/>
              </w:rPr>
              <w:t>p.o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GASK bez bariér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Zámek Slavkov-</w:t>
            </w:r>
            <w:proofErr w:type="spellStart"/>
            <w:r>
              <w:rPr>
                <w:sz w:val="22"/>
                <w:szCs w:val="22"/>
              </w:rPr>
              <w:t>Austerlitz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p.o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Poznej hravě historii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 Novojičínska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známý i neznámý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</w:tr>
      <w:tr w:rsidR="001118A1" w:rsidTr="004826BC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9781" w:type="dxa"/>
            <w:gridSpan w:val="3"/>
            <w:shd w:val="clear" w:color="auto" w:fill="B2A1C7" w:themeFill="accent4" w:themeFillTint="99"/>
            <w:vAlign w:val="center"/>
          </w:tcPr>
          <w:p w:rsidR="001118A1" w:rsidRDefault="001118A1" w:rsidP="004826B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4826BC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matický okruh 2. Edukační aktivity v oblasti muzejnictví podporující rozvoj školních vzdělávacích programů</w:t>
            </w:r>
          </w:p>
          <w:p w:rsidR="004826BC" w:rsidRDefault="004826BC" w:rsidP="004826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a MŠ, Praha 6, náměstí Svobody 2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Živá historie 2017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mezinárodních a veřejných vztahů Praha, SOŠ, s.r.o.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Evropské válečné konflikty 19. a 20. století </w:t>
            </w:r>
            <w:r w:rsidR="00975F8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v českých zemích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130 000</w:t>
            </w:r>
          </w:p>
        </w:tc>
      </w:tr>
      <w:tr w:rsidR="001118A1" w:rsidTr="00975F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8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Vysoká škola mezinárodních a veřejných vztahů Praha o.p.s.</w:t>
            </w:r>
          </w:p>
        </w:tc>
        <w:tc>
          <w:tcPr>
            <w:tcW w:w="4760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 celoživotního vzdělávání "Základy muzejního vzdělávání PR a marketingu"</w:t>
            </w:r>
          </w:p>
        </w:tc>
        <w:tc>
          <w:tcPr>
            <w:tcW w:w="1843" w:type="dxa"/>
          </w:tcPr>
          <w:p w:rsidR="001118A1" w:rsidRDefault="00111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191 000</w:t>
            </w:r>
          </w:p>
        </w:tc>
      </w:tr>
    </w:tbl>
    <w:p w:rsidR="00CC6DE4" w:rsidRDefault="00CC6DE4"/>
    <w:sectPr w:rsidR="00CC6DE4" w:rsidSect="00482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A1"/>
    <w:rsid w:val="001118A1"/>
    <w:rsid w:val="004826BC"/>
    <w:rsid w:val="00975F81"/>
    <w:rsid w:val="00C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1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1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2017-03-30T07:19:00Z</dcterms:created>
  <dcterms:modified xsi:type="dcterms:W3CDTF">2017-03-30T07:36:00Z</dcterms:modified>
</cp:coreProperties>
</file>