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4C" w:rsidRDefault="00924F4C" w:rsidP="00924F4C">
      <w:pPr>
        <w:pStyle w:val="Zhla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1905</wp:posOffset>
            </wp:positionV>
            <wp:extent cx="1860550" cy="53975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28900" cy="542925"/>
            <wp:effectExtent l="0" t="0" r="0" b="9525"/>
            <wp:docPr id="1" name="Obrázek 1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4C" w:rsidRDefault="00924F4C" w:rsidP="003D3132">
      <w:pPr>
        <w:shd w:val="clear" w:color="auto" w:fill="F8F8F8"/>
        <w:spacing w:after="150" w:line="405" w:lineRule="atLeast"/>
        <w:rPr>
          <w:rFonts w:ascii="Conv_SourceSansPro-Regular" w:eastAsia="Times New Roman" w:hAnsi="Conv_SourceSansPro-Regular" w:cs="Helvetica"/>
          <w:color w:val="333333"/>
          <w:sz w:val="23"/>
          <w:szCs w:val="23"/>
          <w:lang w:eastAsia="cs-CZ"/>
        </w:rPr>
      </w:pPr>
    </w:p>
    <w:p w:rsidR="007D5E67" w:rsidRPr="00EF0BB7" w:rsidRDefault="007D5E67" w:rsidP="00EF0BB7">
      <w:pPr>
        <w:shd w:val="clear" w:color="auto" w:fill="F8F8F8"/>
        <w:spacing w:afterLines="150" w:after="360" w:line="40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F0BB7">
        <w:rPr>
          <w:rFonts w:ascii="Times New Roman" w:hAnsi="Times New Roman" w:cs="Times New Roman"/>
          <w:sz w:val="24"/>
          <w:szCs w:val="24"/>
        </w:rPr>
        <w:t xml:space="preserve">Projekt </w:t>
      </w:r>
      <w:r w:rsidRPr="00EF0BB7">
        <w:rPr>
          <w:rFonts w:ascii="Times New Roman" w:hAnsi="Times New Roman" w:cs="Times New Roman"/>
          <w:sz w:val="24"/>
          <w:szCs w:val="24"/>
        </w:rPr>
        <w:t>„</w:t>
      </w:r>
      <w:r w:rsidRPr="00EF0BB7">
        <w:rPr>
          <w:rFonts w:ascii="Times New Roman" w:hAnsi="Times New Roman" w:cs="Times New Roman"/>
          <w:b/>
          <w:bCs/>
          <w:sz w:val="24"/>
          <w:szCs w:val="24"/>
        </w:rPr>
        <w:t>Zpracování systému rozvoje a podpory kulturních a kreativních průmyslů Ministerstvem kultury“</w:t>
      </w:r>
      <w:r w:rsidRPr="00EF0BB7">
        <w:rPr>
          <w:rFonts w:ascii="Times New Roman" w:hAnsi="Times New Roman" w:cs="Times New Roman"/>
          <w:sz w:val="24"/>
          <w:szCs w:val="24"/>
        </w:rPr>
        <w:t>, registrační číslo CZ.03.4.74/0.0/0.0/15_025/0009160</w:t>
      </w:r>
      <w:r w:rsidRPr="00EF0BB7">
        <w:rPr>
          <w:rFonts w:ascii="Times New Roman" w:hAnsi="Times New Roman" w:cs="Times New Roman"/>
          <w:sz w:val="24"/>
          <w:szCs w:val="24"/>
        </w:rPr>
        <w:t xml:space="preserve">, byl zahájen dne 2. května 2018 a bude realizován po dobu 27 měsíců. </w:t>
      </w:r>
      <w:r w:rsidRPr="00EF0BB7">
        <w:rPr>
          <w:rFonts w:ascii="Times New Roman" w:hAnsi="Times New Roman" w:cs="Times New Roman"/>
          <w:sz w:val="24"/>
          <w:szCs w:val="24"/>
        </w:rPr>
        <w:t xml:space="preserve"> </w:t>
      </w:r>
      <w:r w:rsidR="003D3132" w:rsidRPr="003D31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7D5E67" w:rsidRPr="00EF0BB7" w:rsidRDefault="007D5E67" w:rsidP="00EF0BB7">
      <w:pPr>
        <w:spacing w:afterLines="150" w:after="360" w:line="405" w:lineRule="atLeast"/>
        <w:jc w:val="both"/>
        <w:rPr>
          <w:rStyle w:val="datalabel"/>
          <w:rFonts w:ascii="Times New Roman" w:hAnsi="Times New Roman" w:cs="Times New Roman"/>
          <w:sz w:val="24"/>
          <w:szCs w:val="24"/>
        </w:rPr>
      </w:pPr>
      <w:r w:rsidRPr="00EF0BB7">
        <w:rPr>
          <w:rStyle w:val="datalabel"/>
          <w:rFonts w:ascii="Times New Roman" w:hAnsi="Times New Roman" w:cs="Times New Roman"/>
          <w:sz w:val="24"/>
          <w:szCs w:val="24"/>
        </w:rPr>
        <w:t xml:space="preserve">Cílem projektu je vytvoření systému </w:t>
      </w:r>
      <w:r w:rsidR="00EF0BB7" w:rsidRPr="00EF0BB7">
        <w:rPr>
          <w:rStyle w:val="datalabel"/>
          <w:rFonts w:ascii="Times New Roman" w:hAnsi="Times New Roman" w:cs="Times New Roman"/>
          <w:sz w:val="24"/>
          <w:szCs w:val="24"/>
        </w:rPr>
        <w:t xml:space="preserve">podpory a </w:t>
      </w:r>
      <w:r w:rsidRPr="00EF0BB7">
        <w:rPr>
          <w:rStyle w:val="datalabel"/>
          <w:rFonts w:ascii="Times New Roman" w:hAnsi="Times New Roman" w:cs="Times New Roman"/>
          <w:sz w:val="24"/>
          <w:szCs w:val="24"/>
        </w:rPr>
        <w:t>rozvoje kulturně kreativních průmyslů (KKP) pr</w:t>
      </w:r>
      <w:bookmarkStart w:id="0" w:name="_GoBack"/>
      <w:bookmarkEnd w:id="0"/>
      <w:r w:rsidRPr="00EF0BB7">
        <w:rPr>
          <w:rStyle w:val="datalabel"/>
          <w:rFonts w:ascii="Times New Roman" w:hAnsi="Times New Roman" w:cs="Times New Roman"/>
          <w:sz w:val="24"/>
          <w:szCs w:val="24"/>
        </w:rPr>
        <w:t xml:space="preserve">ostřednictvím tvorby komplexní Strategie rozvoje a podpory KKP. </w:t>
      </w:r>
    </w:p>
    <w:p w:rsidR="007D5E67" w:rsidRPr="00EF0BB7" w:rsidRDefault="007D5E67" w:rsidP="00EF0BB7">
      <w:pPr>
        <w:shd w:val="clear" w:color="auto" w:fill="F8F8F8"/>
        <w:spacing w:after="150" w:line="405" w:lineRule="atLeast"/>
        <w:jc w:val="both"/>
        <w:rPr>
          <w:rFonts w:ascii="Conv_SourceSansPro-Regular" w:eastAsia="Times New Roman" w:hAnsi="Conv_SourceSansPro-Regular" w:cs="Helvetica"/>
          <w:color w:val="333333"/>
          <w:sz w:val="24"/>
          <w:szCs w:val="24"/>
          <w:lang w:eastAsia="cs-CZ"/>
        </w:rPr>
      </w:pPr>
      <w:r w:rsidRPr="00EF0BB7">
        <w:rPr>
          <w:rFonts w:ascii="Times New Roman" w:hAnsi="Times New Roman" w:cs="Times New Roman"/>
          <w:sz w:val="24"/>
          <w:szCs w:val="24"/>
        </w:rPr>
        <w:t xml:space="preserve">Projekt je zaměřen na vytvoření podpory nejen </w:t>
      </w:r>
      <w:r w:rsidRPr="00EF0BB7">
        <w:rPr>
          <w:rFonts w:ascii="Times New Roman" w:hAnsi="Times New Roman" w:cs="Times New Roman"/>
          <w:sz w:val="24"/>
          <w:szCs w:val="24"/>
        </w:rPr>
        <w:t>v oblasti</w:t>
      </w:r>
      <w:r w:rsidRPr="00EF0BB7">
        <w:rPr>
          <w:rFonts w:ascii="Times New Roman" w:hAnsi="Times New Roman" w:cs="Times New Roman"/>
          <w:sz w:val="24"/>
          <w:szCs w:val="24"/>
        </w:rPr>
        <w:t xml:space="preserve"> tradiční</w:t>
      </w:r>
      <w:r w:rsidRPr="00EF0BB7">
        <w:rPr>
          <w:rFonts w:ascii="Times New Roman" w:hAnsi="Times New Roman" w:cs="Times New Roman"/>
          <w:sz w:val="24"/>
          <w:szCs w:val="24"/>
        </w:rPr>
        <w:t>ch</w:t>
      </w:r>
      <w:r w:rsidRPr="00EF0BB7">
        <w:rPr>
          <w:rFonts w:ascii="Times New Roman" w:hAnsi="Times New Roman" w:cs="Times New Roman"/>
          <w:sz w:val="24"/>
          <w:szCs w:val="24"/>
        </w:rPr>
        <w:t xml:space="preserve"> KKP, ale rovněž na nově utvářené oblasti </w:t>
      </w:r>
      <w:r w:rsidRPr="00EF0BB7">
        <w:rPr>
          <w:rFonts w:ascii="Times New Roman" w:hAnsi="Times New Roman" w:cs="Times New Roman"/>
          <w:sz w:val="24"/>
          <w:szCs w:val="24"/>
        </w:rPr>
        <w:t>KKP</w:t>
      </w:r>
      <w:r w:rsidRPr="00EF0BB7">
        <w:rPr>
          <w:rFonts w:ascii="Times New Roman" w:hAnsi="Times New Roman" w:cs="Times New Roman"/>
          <w:sz w:val="24"/>
          <w:szCs w:val="24"/>
        </w:rPr>
        <w:t xml:space="preserve">. Součástí projektu je také nastavení funkčních mechanismů komunikace v oblastech KKP v rámci rezortu i navenek. Hlavním přínosem projektu bude posílení efektivnosti výkonu veřejné správy v oblasti KKP, která patří mezi nová témata a </w:t>
      </w:r>
      <w:r w:rsidRPr="00EF0BB7">
        <w:rPr>
          <w:rFonts w:ascii="Times New Roman" w:hAnsi="Times New Roman" w:cs="Times New Roman"/>
          <w:sz w:val="24"/>
          <w:szCs w:val="24"/>
        </w:rPr>
        <w:t>má mnoho mezirezortních přesahů a z</w:t>
      </w:r>
      <w:r w:rsidRPr="00EF0BB7">
        <w:rPr>
          <w:rFonts w:ascii="Times New Roman" w:hAnsi="Times New Roman" w:cs="Times New Roman"/>
          <w:sz w:val="24"/>
          <w:szCs w:val="24"/>
        </w:rPr>
        <w:t>výšení odbornosti zaměstnanců Ministerstva kultury zapojených do problematiky KKP s důrazem na přesahy v jejich odbornosti.</w:t>
      </w:r>
    </w:p>
    <w:p w:rsidR="007D5E67" w:rsidRPr="00EF0BB7" w:rsidRDefault="007D5E67" w:rsidP="00EF0BB7">
      <w:p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5CE" w:rsidRPr="00EF0BB7" w:rsidRDefault="008635CE" w:rsidP="00EF0BB7">
      <w:p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 xml:space="preserve">Celkové způsobilé náklady projektu jsou schváleny ve výši 19 085 866,80 Kč. </w:t>
      </w:r>
      <w:r w:rsidR="007D5E67" w:rsidRPr="00EF0BB7">
        <w:rPr>
          <w:rFonts w:ascii="Times New Roman" w:hAnsi="Times New Roman" w:cs="Times New Roman"/>
          <w:sz w:val="24"/>
          <w:szCs w:val="24"/>
        </w:rPr>
        <w:t>Projekt je kofinancován z Evropského sociálního fondu a státního rozpočtu. Náklady b</w:t>
      </w:r>
      <w:r w:rsidRPr="00EF0BB7">
        <w:rPr>
          <w:rFonts w:ascii="Times New Roman" w:hAnsi="Times New Roman" w:cs="Times New Roman"/>
          <w:sz w:val="24"/>
          <w:szCs w:val="24"/>
        </w:rPr>
        <w:t>udou financovány pro méně rozvinuté regiony z 85 % z ESF, což činí 14 305 429,73 Kč a z 15 % ze SR, což činí 2 524 487,61 Kč. Pro více rozvinuté regiony budou náklady financovány z 50 % z ESF, což představuje 1 127 974,73 Kč a stejnou částkou 50 % ze SR. Celkově tedy bude financování projektu z 80,863 % z ESF (15 433 404,46 Kč) a z 19,137 % ze SR (3 652 462,34 Kč).</w:t>
      </w:r>
    </w:p>
    <w:p w:rsidR="001F27F7" w:rsidRPr="00EF0BB7" w:rsidRDefault="00EF0BB7" w:rsidP="00EF0BB7">
      <w:p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>Projekt obsahuje tyto klíčové aktivity:</w:t>
      </w:r>
    </w:p>
    <w:p w:rsidR="001F27F7" w:rsidRPr="00EF0BB7" w:rsidRDefault="001F27F7" w:rsidP="00EF0BB7">
      <w:pPr>
        <w:pStyle w:val="Odstavecseseznamem"/>
        <w:numPr>
          <w:ilvl w:val="0"/>
          <w:numId w:val="2"/>
        </w:num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>Aktualizace výstupů studie Mapování KKP a zpracování nezbytné analýzy strategické dokumentace a analýzy finančního zacílení související s</w:t>
      </w:r>
      <w:r w:rsidR="00EF0BB7">
        <w:rPr>
          <w:rFonts w:ascii="Times New Roman" w:hAnsi="Times New Roman" w:cs="Times New Roman"/>
          <w:sz w:val="24"/>
          <w:szCs w:val="24"/>
        </w:rPr>
        <w:t> </w:t>
      </w:r>
      <w:r w:rsidRPr="00EF0BB7">
        <w:rPr>
          <w:rFonts w:ascii="Times New Roman" w:hAnsi="Times New Roman" w:cs="Times New Roman"/>
          <w:sz w:val="24"/>
          <w:szCs w:val="24"/>
        </w:rPr>
        <w:t>KKP</w:t>
      </w:r>
      <w:r w:rsidR="00EF0BB7">
        <w:rPr>
          <w:rFonts w:ascii="Times New Roman" w:hAnsi="Times New Roman" w:cs="Times New Roman"/>
          <w:sz w:val="24"/>
          <w:szCs w:val="24"/>
        </w:rPr>
        <w:t>;</w:t>
      </w:r>
    </w:p>
    <w:p w:rsidR="001F27F7" w:rsidRPr="00EF0BB7" w:rsidRDefault="001F27F7" w:rsidP="00EF0BB7">
      <w:pPr>
        <w:pStyle w:val="Odstavecseseznamem"/>
        <w:numPr>
          <w:ilvl w:val="0"/>
          <w:numId w:val="2"/>
        </w:num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>Odborné semináře</w:t>
      </w:r>
      <w:r w:rsidR="00EF0BB7">
        <w:rPr>
          <w:rFonts w:ascii="Times New Roman" w:hAnsi="Times New Roman" w:cs="Times New Roman"/>
          <w:sz w:val="24"/>
          <w:szCs w:val="24"/>
        </w:rPr>
        <w:t>;</w:t>
      </w:r>
      <w:r w:rsidRPr="00EF0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F7" w:rsidRPr="00EF0BB7" w:rsidRDefault="001F27F7" w:rsidP="00EF0BB7">
      <w:pPr>
        <w:pStyle w:val="Odstavecseseznamem"/>
        <w:numPr>
          <w:ilvl w:val="0"/>
          <w:numId w:val="2"/>
        </w:num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 xml:space="preserve">Identifikace rizik dle pravidel </w:t>
      </w:r>
      <w:proofErr w:type="gramStart"/>
      <w:r w:rsidRPr="00EF0BB7">
        <w:rPr>
          <w:rFonts w:ascii="Times New Roman" w:hAnsi="Times New Roman" w:cs="Times New Roman"/>
          <w:sz w:val="24"/>
          <w:szCs w:val="24"/>
        </w:rPr>
        <w:t>S.M.</w:t>
      </w:r>
      <w:proofErr w:type="gramEnd"/>
      <w:r w:rsidRPr="00EF0BB7">
        <w:rPr>
          <w:rFonts w:ascii="Times New Roman" w:hAnsi="Times New Roman" w:cs="Times New Roman"/>
          <w:sz w:val="24"/>
          <w:szCs w:val="24"/>
        </w:rPr>
        <w:t>A.R.T. prostřednictvím analýzy podpory něko</w:t>
      </w:r>
      <w:r w:rsidR="00EF0BB7">
        <w:rPr>
          <w:rFonts w:ascii="Times New Roman" w:hAnsi="Times New Roman" w:cs="Times New Roman"/>
          <w:sz w:val="24"/>
          <w:szCs w:val="24"/>
        </w:rPr>
        <w:t>lika klíčových oblastí;</w:t>
      </w:r>
    </w:p>
    <w:p w:rsidR="001F27F7" w:rsidRPr="00EF0BB7" w:rsidRDefault="001F27F7" w:rsidP="00EF0BB7">
      <w:pPr>
        <w:pStyle w:val="Odstavecseseznamem"/>
        <w:numPr>
          <w:ilvl w:val="0"/>
          <w:numId w:val="2"/>
        </w:num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>Tvorba strategického dokumentu</w:t>
      </w:r>
      <w:r w:rsidR="00EF0BB7">
        <w:rPr>
          <w:rFonts w:ascii="Times New Roman" w:hAnsi="Times New Roman" w:cs="Times New Roman"/>
          <w:sz w:val="24"/>
          <w:szCs w:val="24"/>
        </w:rPr>
        <w:t>;</w:t>
      </w:r>
    </w:p>
    <w:p w:rsidR="001F27F7" w:rsidRPr="00EF0BB7" w:rsidRDefault="001F27F7" w:rsidP="00EF0BB7">
      <w:pPr>
        <w:pStyle w:val="Odstavecseseznamem"/>
        <w:numPr>
          <w:ilvl w:val="0"/>
          <w:numId w:val="2"/>
        </w:numPr>
        <w:spacing w:after="15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BB7">
        <w:rPr>
          <w:rFonts w:ascii="Times New Roman" w:hAnsi="Times New Roman" w:cs="Times New Roman"/>
          <w:sz w:val="24"/>
          <w:szCs w:val="24"/>
        </w:rPr>
        <w:t>Rozpracování akčního plánu ve střednědobém horizontu</w:t>
      </w:r>
      <w:r w:rsidR="00EF0BB7">
        <w:rPr>
          <w:rFonts w:ascii="Times New Roman" w:hAnsi="Times New Roman" w:cs="Times New Roman"/>
          <w:sz w:val="24"/>
          <w:szCs w:val="24"/>
        </w:rPr>
        <w:t>.</w:t>
      </w:r>
    </w:p>
    <w:sectPr w:rsidR="001F27F7" w:rsidRPr="00EF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2D8D"/>
    <w:multiLevelType w:val="multilevel"/>
    <w:tmpl w:val="7EE8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27AAE"/>
    <w:multiLevelType w:val="hybridMultilevel"/>
    <w:tmpl w:val="AE904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2"/>
    <w:rsid w:val="001F27F7"/>
    <w:rsid w:val="003D3132"/>
    <w:rsid w:val="007D5E67"/>
    <w:rsid w:val="008635CE"/>
    <w:rsid w:val="00924F4C"/>
    <w:rsid w:val="00A2028C"/>
    <w:rsid w:val="00E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8635CE"/>
  </w:style>
  <w:style w:type="paragraph" w:styleId="Zhlav">
    <w:name w:val="header"/>
    <w:basedOn w:val="Normln"/>
    <w:link w:val="ZhlavChar"/>
    <w:uiPriority w:val="99"/>
    <w:rsid w:val="00924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4F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8635CE"/>
  </w:style>
  <w:style w:type="paragraph" w:styleId="Zhlav">
    <w:name w:val="header"/>
    <w:basedOn w:val="Normln"/>
    <w:link w:val="ZhlavChar"/>
    <w:uiPriority w:val="99"/>
    <w:rsid w:val="00924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24F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F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2018-07-09T12:12:00Z</dcterms:created>
  <dcterms:modified xsi:type="dcterms:W3CDTF">2018-07-09T13:57:00Z</dcterms:modified>
</cp:coreProperties>
</file>