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6" w:rsidRDefault="003C2CB6" w:rsidP="00CA3F87">
      <w:pPr>
        <w:jc w:val="both"/>
      </w:pPr>
    </w:p>
    <w:p w:rsidR="00CA3F87" w:rsidRDefault="00AD38F4" w:rsidP="00121D3E">
      <w:pPr>
        <w:spacing w:after="0"/>
        <w:jc w:val="both"/>
      </w:pPr>
      <w:r>
        <w:rPr>
          <w:rFonts w:eastAsia="Arial" w:cs="Arial"/>
          <w:b/>
          <w:u w:val="single"/>
        </w:rPr>
        <w:t>Stav připraven</w:t>
      </w:r>
      <w:r w:rsidR="00EF234A">
        <w:rPr>
          <w:rFonts w:eastAsia="Arial" w:cs="Arial"/>
          <w:b/>
          <w:u w:val="single"/>
        </w:rPr>
        <w:t xml:space="preserve">osti a dopady </w:t>
      </w:r>
      <w:proofErr w:type="spellStart"/>
      <w:r w:rsidR="00EF234A">
        <w:rPr>
          <w:rFonts w:eastAsia="Arial" w:cs="Arial"/>
          <w:b/>
          <w:u w:val="single"/>
        </w:rPr>
        <w:t>brexitu</w:t>
      </w:r>
      <w:proofErr w:type="spellEnd"/>
      <w:r w:rsidR="00EF234A">
        <w:rPr>
          <w:rFonts w:eastAsia="Arial" w:cs="Arial"/>
          <w:b/>
          <w:u w:val="single"/>
        </w:rPr>
        <w:t xml:space="preserve"> na základě Dohody o vystoupení UK z EU</w:t>
      </w:r>
      <w:r>
        <w:rPr>
          <w:rFonts w:eastAsia="Arial" w:cs="Arial"/>
          <w:b/>
          <w:u w:val="single"/>
        </w:rPr>
        <w:t xml:space="preserve"> na oblasti v působnosti resortu kultury</w:t>
      </w:r>
    </w:p>
    <w:p w:rsidR="00121D3E" w:rsidRPr="00C23547" w:rsidRDefault="00121D3E" w:rsidP="00121D3E">
      <w:pPr>
        <w:spacing w:after="0"/>
        <w:jc w:val="both"/>
        <w:rPr>
          <w:rFonts w:eastAsia="Arial" w:cs="Arial"/>
          <w:b/>
          <w:u w:val="single"/>
        </w:rPr>
      </w:pPr>
    </w:p>
    <w:p w:rsidR="002C3A1B" w:rsidRDefault="00CA3F87" w:rsidP="00887B5F">
      <w:pPr>
        <w:spacing w:after="0"/>
        <w:jc w:val="both"/>
      </w:pPr>
      <w:r>
        <w:t>Ministerstvo kultury ČR j</w:t>
      </w:r>
      <w:r w:rsidR="002205FC">
        <w:t xml:space="preserve">e v rámci činnosti </w:t>
      </w:r>
      <w:r w:rsidR="007169A0">
        <w:t>EU gestorem</w:t>
      </w:r>
      <w:r>
        <w:t xml:space="preserve"> v Radě pro vzdělávání, mládež, kulturu a spor</w:t>
      </w:r>
      <w:r w:rsidR="009E418D">
        <w:t>t v části kultura a audiovize a v rámci Rady pro konkurenceschopnost je gestorem v části duševní vlastnictví – autorské právo.</w:t>
      </w:r>
    </w:p>
    <w:p w:rsidR="00121D3E" w:rsidRDefault="00121D3E" w:rsidP="00887B5F">
      <w:pPr>
        <w:spacing w:after="0"/>
        <w:jc w:val="both"/>
      </w:pPr>
    </w:p>
    <w:p w:rsidR="00121D3E" w:rsidRDefault="00121D3E" w:rsidP="00887B5F">
      <w:pPr>
        <w:spacing w:after="0"/>
        <w:jc w:val="both"/>
      </w:pPr>
      <w:r>
        <w:t xml:space="preserve">Na základě aktuálního stavu projednávání </w:t>
      </w:r>
      <w:r w:rsidRPr="00121D3E">
        <w:rPr>
          <w:rFonts w:eastAsia="Arial" w:cs="Arial"/>
        </w:rPr>
        <w:t>Dohody o vystoupení UK z</w:t>
      </w:r>
      <w:r>
        <w:rPr>
          <w:rFonts w:eastAsia="Arial" w:cs="Arial"/>
        </w:rPr>
        <w:t> </w:t>
      </w:r>
      <w:r w:rsidRPr="00121D3E">
        <w:rPr>
          <w:rFonts w:eastAsia="Arial" w:cs="Arial"/>
        </w:rPr>
        <w:t>EU</w:t>
      </w:r>
      <w:r>
        <w:rPr>
          <w:rFonts w:eastAsia="Arial" w:cs="Arial"/>
        </w:rPr>
        <w:t xml:space="preserve"> pro </w:t>
      </w:r>
      <w:r w:rsidR="00F9306A">
        <w:rPr>
          <w:rFonts w:eastAsia="Arial" w:cs="Arial"/>
        </w:rPr>
        <w:t xml:space="preserve">oblast působnosti </w:t>
      </w:r>
      <w:r>
        <w:rPr>
          <w:rFonts w:eastAsia="Arial" w:cs="Arial"/>
        </w:rPr>
        <w:t>MK</w:t>
      </w:r>
      <w:r w:rsidR="00DD5D19">
        <w:rPr>
          <w:rFonts w:eastAsia="Arial" w:cs="Arial"/>
        </w:rPr>
        <w:t xml:space="preserve"> </w:t>
      </w:r>
      <w:r w:rsidR="00F9306A">
        <w:rPr>
          <w:rFonts w:eastAsia="Arial" w:cs="Arial"/>
        </w:rPr>
        <w:t>nevyplývá</w:t>
      </w:r>
      <w:r w:rsidR="00DD5D19">
        <w:rPr>
          <w:rFonts w:eastAsia="Arial" w:cs="Arial"/>
        </w:rPr>
        <w:t xml:space="preserve"> nutnost </w:t>
      </w:r>
      <w:r>
        <w:rPr>
          <w:rFonts w:eastAsia="Arial" w:cs="Arial"/>
        </w:rPr>
        <w:t>implementace.</w:t>
      </w:r>
    </w:p>
    <w:p w:rsidR="002C3A1B" w:rsidRDefault="002C3A1B" w:rsidP="00887B5F">
      <w:pPr>
        <w:spacing w:after="0"/>
        <w:jc w:val="both"/>
      </w:pPr>
    </w:p>
    <w:p w:rsidR="0063099F" w:rsidRPr="0063099F" w:rsidRDefault="0063099F" w:rsidP="00C23547">
      <w:pPr>
        <w:spacing w:after="0"/>
        <w:jc w:val="both"/>
        <w:rPr>
          <w:b/>
        </w:rPr>
      </w:pPr>
      <w:r w:rsidRPr="0063099F">
        <w:rPr>
          <w:b/>
        </w:rPr>
        <w:t>Smluvní základna bilaterálních vztahů ČR – UK</w:t>
      </w:r>
    </w:p>
    <w:p w:rsidR="00C23547" w:rsidRPr="00C23547" w:rsidRDefault="00C23547" w:rsidP="00C23547">
      <w:pPr>
        <w:spacing w:after="0"/>
        <w:jc w:val="both"/>
      </w:pPr>
      <w:r w:rsidRPr="00C23547">
        <w:t xml:space="preserve">Smluvní základnu k bilaterálním kulturním vztahům se Spojeným královstvím tvoří Kulturní dohoda mezi vládou ČSFR a vládou Spojeného království Velké Británie a Severního Irska o spolupráci v oblasti školství, vědy a kultury (Londýn, 3. dubna 1990), Dohoda o zřízení a činnosti kulturních středisek (168/1992 Sb.) a Memorandum o porozumění a spolupráci v oblasti kultury mezi Ministerstvem kultury ČR a </w:t>
      </w:r>
      <w:proofErr w:type="spellStart"/>
      <w:r w:rsidRPr="00C23547">
        <w:t>British</w:t>
      </w:r>
      <w:proofErr w:type="spellEnd"/>
      <w:r w:rsidRPr="00C23547">
        <w:t xml:space="preserve"> </w:t>
      </w:r>
      <w:proofErr w:type="spellStart"/>
      <w:r w:rsidRPr="00C23547">
        <w:t>Council</w:t>
      </w:r>
      <w:proofErr w:type="spellEnd"/>
      <w:r w:rsidRPr="00C23547">
        <w:t xml:space="preserve"> (Londýn, 16. února 2004). Tyto dohody se automaticky prodlužuj</w:t>
      </w:r>
      <w:r w:rsidR="00121D3E">
        <w:t>í a zůstanou v platnosti</w:t>
      </w:r>
      <w:r w:rsidRPr="00C23547">
        <w:t xml:space="preserve">. </w:t>
      </w:r>
    </w:p>
    <w:p w:rsidR="00C23547" w:rsidRDefault="00C23547" w:rsidP="00887B5F">
      <w:pPr>
        <w:spacing w:after="0"/>
        <w:jc w:val="both"/>
        <w:rPr>
          <w:b/>
        </w:rPr>
      </w:pPr>
    </w:p>
    <w:p w:rsidR="0063099F" w:rsidRPr="002C3A1B" w:rsidRDefault="0063099F" w:rsidP="00887B5F">
      <w:pPr>
        <w:spacing w:after="0"/>
        <w:jc w:val="both"/>
        <w:rPr>
          <w:b/>
        </w:rPr>
      </w:pPr>
      <w:r>
        <w:rPr>
          <w:b/>
        </w:rPr>
        <w:t>Oblast kultury</w:t>
      </w:r>
    </w:p>
    <w:p w:rsidR="002C3A1B" w:rsidRDefault="00EF234A" w:rsidP="00887B5F">
      <w:pPr>
        <w:spacing w:after="0"/>
        <w:jc w:val="both"/>
      </w:pPr>
      <w:r>
        <w:t>Dohoda o vystoupení</w:t>
      </w:r>
      <w:r w:rsidR="00C23547">
        <w:t xml:space="preserve"> </w:t>
      </w:r>
      <w:r w:rsidR="002C3A1B">
        <w:t>n</w:t>
      </w:r>
      <w:r w:rsidR="00C23547">
        <w:t xml:space="preserve">epředpokládá </w:t>
      </w:r>
      <w:r>
        <w:t>přijetí zvláštních opatření v oblasti kultury</w:t>
      </w:r>
      <w:r w:rsidR="003C5EC9">
        <w:t>.</w:t>
      </w:r>
      <w:r w:rsidR="00D35F6E">
        <w:t xml:space="preserve"> </w:t>
      </w:r>
    </w:p>
    <w:p w:rsidR="009C64FB" w:rsidRDefault="009C64FB" w:rsidP="00887B5F">
      <w:pPr>
        <w:spacing w:after="0"/>
        <w:jc w:val="both"/>
      </w:pPr>
    </w:p>
    <w:p w:rsidR="002C3A1B" w:rsidRDefault="009E418D" w:rsidP="00887B5F">
      <w:pPr>
        <w:spacing w:after="0"/>
        <w:jc w:val="both"/>
      </w:pPr>
      <w:r>
        <w:t>Základním nástrojem podpory EU pro oblast kultury a audiovize je k</w:t>
      </w:r>
      <w:r w:rsidR="002C3A1B">
        <w:t xml:space="preserve">omunitární program </w:t>
      </w:r>
      <w:r>
        <w:t>Kreativní Evropa</w:t>
      </w:r>
      <w:r w:rsidRPr="009C64FB">
        <w:t xml:space="preserve">. </w:t>
      </w:r>
      <w:r w:rsidR="009C64FB">
        <w:t>V současné době je projednáván návrh programu Kreativní Evropa na roky 2021-2027 (proběhl první trialog s EP). Během dosavadních jednání Výboru p</w:t>
      </w:r>
      <w:r w:rsidR="002205FC">
        <w:t>ro kulturní záležitosti Rady (C</w:t>
      </w:r>
      <w:r w:rsidR="009C64FB">
        <w:t>AC) se o možnostech účasti UK v tomto programu</w:t>
      </w:r>
      <w:r w:rsidR="00DD5D19">
        <w:t xml:space="preserve"> jednalo pouze jednou s tím, že existuje možnost v případě zájmu UK stát se</w:t>
      </w:r>
      <w:r w:rsidR="00C23547" w:rsidRPr="009C64FB">
        <w:t xml:space="preserve"> tzv. třetí zemí</w:t>
      </w:r>
      <w:r w:rsidR="002205FC">
        <w:t>. Úč</w:t>
      </w:r>
      <w:r w:rsidR="009C64FB">
        <w:t xml:space="preserve">ast třetích zemí je v programu podmíněna zaplacením účastnického poplatku. </w:t>
      </w:r>
      <w:r w:rsidR="00DD5D19">
        <w:t>Jiné legislativní opatření není vyžadováno.</w:t>
      </w:r>
    </w:p>
    <w:p w:rsidR="00DD5D19" w:rsidRPr="00EF234A" w:rsidRDefault="00DD5D19" w:rsidP="00887B5F">
      <w:pPr>
        <w:spacing w:after="0"/>
        <w:jc w:val="both"/>
        <w:rPr>
          <w:u w:val="single"/>
        </w:rPr>
      </w:pPr>
    </w:p>
    <w:p w:rsidR="0063099F" w:rsidRPr="00EF234A" w:rsidRDefault="0063099F" w:rsidP="0063099F">
      <w:pPr>
        <w:spacing w:after="0"/>
        <w:jc w:val="both"/>
        <w:rPr>
          <w:u w:val="single"/>
        </w:rPr>
      </w:pPr>
      <w:r w:rsidRPr="00EF234A">
        <w:rPr>
          <w:u w:val="single"/>
        </w:rPr>
        <w:t>Oblast umění, literatury, knihoven</w:t>
      </w:r>
    </w:p>
    <w:p w:rsidR="0063099F" w:rsidRDefault="00EF234A" w:rsidP="0063099F">
      <w:pPr>
        <w:jc w:val="both"/>
      </w:pPr>
      <w:r>
        <w:t xml:space="preserve">Britští umělci budou mít </w:t>
      </w:r>
      <w:r w:rsidR="0063099F">
        <w:t xml:space="preserve">statut umělce ze zemí mimo EU. Pokud by hodlali </w:t>
      </w:r>
      <w:r w:rsidR="0063099F" w:rsidRPr="0063099F">
        <w:t xml:space="preserve">uzavřít </w:t>
      </w:r>
      <w:r w:rsidR="0063099F">
        <w:t xml:space="preserve">v ČR </w:t>
      </w:r>
      <w:r w:rsidR="0063099F" w:rsidRPr="0063099F">
        <w:t>praco</w:t>
      </w:r>
      <w:r w:rsidR="0063099F">
        <w:t>vněprávní vztah, museli by d</w:t>
      </w:r>
      <w:r w:rsidR="0063099F" w:rsidRPr="0063099F">
        <w:t xml:space="preserve">održovat zákon o zaměstnanosti (č. 435/2004 </w:t>
      </w:r>
      <w:r w:rsidR="00442A63">
        <w:t>Sb.), konkrétně jeho § 85</w:t>
      </w:r>
      <w:r w:rsidR="0063099F" w:rsidRPr="0063099F">
        <w:t>. Pokud má bý</w:t>
      </w:r>
      <w:r w:rsidR="0063099F">
        <w:t>t zaměstnán cizinec</w:t>
      </w:r>
      <w:r w:rsidR="0063099F" w:rsidRPr="0063099F">
        <w:t xml:space="preserve"> v </w:t>
      </w:r>
      <w:r w:rsidR="0063099F">
        <w:t>pracovněprávním vztahu</w:t>
      </w:r>
      <w:r w:rsidR="0063099F" w:rsidRPr="0063099F">
        <w:t xml:space="preserve">, je třeba, aby měl platnou zaměstnaneckou kartu, kartu vnitropodnikově převedeného zaměstnance nebo tzv. modrou kartu, anebo aby měl platné povolení k zaměstnání vydané krajskou pobočkou Úřadu práce a k tomu platné oprávnění k pobytu na území České republiky. To neplatí u zaměstnanců vyjmenovaných v § 98 zákona </w:t>
      </w:r>
      <w:r w:rsidR="0063099F">
        <w:t>o zaměstnanosti. Z hlediska MK</w:t>
      </w:r>
      <w:r w:rsidR="0063099F" w:rsidRPr="0063099F">
        <w:t xml:space="preserve"> je tato výjimka relevantní třeba u pracovníků v oblasti výzkumu a vývoje</w:t>
      </w:r>
      <w:r w:rsidR="0063099F">
        <w:t>. Dále</w:t>
      </w:r>
      <w:r w:rsidR="00C205B0">
        <w:t xml:space="preserve"> </w:t>
      </w:r>
      <w:r w:rsidR="0063099F" w:rsidRPr="0063099F">
        <w:t xml:space="preserve">je nutno vyzdvihnout výjimku podle § 98 písm. d) zákona o zaměstnanosti, která se týká cizince, jehož výkon práce na území České republiky nepřesáhne 7 po sobě jdoucích kalendářních dnů nebo celkem 30 dnů v kalendářním roce a tento cizinec je zároveň výkonným umělcem (ve smyslu autorského </w:t>
      </w:r>
      <w:r w:rsidR="0063099F" w:rsidRPr="0063099F">
        <w:lastRenderedPageBreak/>
        <w:t>zákona), pedagogickým pracovníkem nebo akademickým pracovníkem vysoké školy. Další výjimky se týkají třeba</w:t>
      </w:r>
      <w:r w:rsidR="0063099F">
        <w:t xml:space="preserve"> žáků a studentů do 26 let věku.</w:t>
      </w:r>
    </w:p>
    <w:p w:rsidR="0063099F" w:rsidRPr="0063099F" w:rsidRDefault="0063099F" w:rsidP="0063099F">
      <w:pPr>
        <w:jc w:val="both"/>
      </w:pPr>
      <w:r w:rsidRPr="0063099F">
        <w:t>Je nutno zdůraznit, že v oblasti tzv. živého umění se u zahraničních umělců příliš nevyužívají pracovně právní vztahy. Preferovány jsou smluvní vztahy založené na občanskoprávní, resp. autorskoprávní bázi, tedy bez aplikace zákoníku práce. Jde například o smlouvu o provedení uměleckého výkonu (např. zahraniční houslista odehraje několik koncertů) či sm</w:t>
      </w:r>
      <w:r w:rsidR="002205FC">
        <w:t>louvu o umělecké spolupráci (</w:t>
      </w:r>
      <w:r w:rsidRPr="0063099F">
        <w:t xml:space="preserve">jde v podstatě o smlouvu </w:t>
      </w:r>
      <w:proofErr w:type="spellStart"/>
      <w:r w:rsidRPr="0063099F">
        <w:t>inominátní</w:t>
      </w:r>
      <w:proofErr w:type="spellEnd"/>
      <w:r w:rsidRPr="0063099F">
        <w:t xml:space="preserve"> podle § 1746 odst. 2 občanského zákoníku, na jejímž základě zahraniční dirigent několik let působí u konkrétního orchestru).</w:t>
      </w:r>
    </w:p>
    <w:p w:rsidR="00C205B0" w:rsidRPr="00EF234A" w:rsidRDefault="00D133A2" w:rsidP="00C205B0">
      <w:pPr>
        <w:spacing w:after="0"/>
        <w:jc w:val="both"/>
        <w:rPr>
          <w:u w:val="single"/>
        </w:rPr>
      </w:pPr>
      <w:r w:rsidRPr="00EF234A">
        <w:rPr>
          <w:u w:val="single"/>
        </w:rPr>
        <w:t>Oblast ochrany kulturních statků</w:t>
      </w:r>
    </w:p>
    <w:p w:rsidR="00D133A2" w:rsidRPr="00C205B0" w:rsidRDefault="002205FC" w:rsidP="00C205B0">
      <w:pPr>
        <w:spacing w:after="0"/>
        <w:jc w:val="both"/>
        <w:rPr>
          <w:b/>
        </w:rPr>
      </w:pPr>
      <w:r>
        <w:t xml:space="preserve">UK </w:t>
      </w:r>
      <w:r w:rsidR="00EF234A">
        <w:t>se</w:t>
      </w:r>
      <w:r w:rsidR="00EA7EBC">
        <w:t xml:space="preserve"> </w:t>
      </w:r>
      <w:r w:rsidR="00EF234A">
        <w:t>stane tzv. třetí zemí a ocitne</w:t>
      </w:r>
      <w:r w:rsidR="00D133A2" w:rsidRPr="002156B9">
        <w:t xml:space="preserve"> se mimo evropské celní území, pro </w:t>
      </w:r>
      <w:r w:rsidR="00D133A2" w:rsidRPr="00C205B0">
        <w:rPr>
          <w:bCs/>
        </w:rPr>
        <w:t>vývozy kulturních statků do UK</w:t>
      </w:r>
      <w:r w:rsidR="00D133A2" w:rsidRPr="002156B9">
        <w:t xml:space="preserve"> by bylo vyžadováno </w:t>
      </w:r>
      <w:r w:rsidR="00D133A2" w:rsidRPr="00C205B0">
        <w:rPr>
          <w:bCs/>
        </w:rPr>
        <w:t>vývozní povolení podle zákona č. 214/2002 Sb., o vývozu některých kulturních statků z celního území Evropských společenství</w:t>
      </w:r>
      <w:r w:rsidR="00D133A2" w:rsidRPr="002156B9">
        <w:t>, ve znění pozdějších předpisů (Nařízení Rady (EHS) č. 3911/92 ze dne 9. prosince 1992 o vývozu kulturních statků a Nařízení Komise (EHS) č. 752/93 ze dne 30. března 1993, které stanoví způsob provádění nařízení Rady (EHS) č. 3911/92 o vývozu kulturních statků; resp. Nařízení Rady (ES) č. 116/2009 ze dne 18. prosince 2008 o vývozu kulturních statků a Prováděcí nařízení Komise (EU) č. 1081/2012 ze dne 9. listopadu 2012 k nařízení Rady (ES) č. 116/2009 o vývozu kulturních statků)</w:t>
      </w:r>
    </w:p>
    <w:p w:rsidR="00D133A2" w:rsidRPr="002156B9" w:rsidRDefault="00D133A2" w:rsidP="00D133A2">
      <w:pPr>
        <w:pStyle w:val="Odstavecseseznamem"/>
        <w:spacing w:line="276" w:lineRule="auto"/>
        <w:ind w:left="284"/>
        <w:jc w:val="both"/>
      </w:pPr>
    </w:p>
    <w:p w:rsidR="00D133A2" w:rsidRPr="002156B9" w:rsidRDefault="00EF234A" w:rsidP="00C205B0">
      <w:pPr>
        <w:jc w:val="both"/>
      </w:pPr>
      <w:r>
        <w:rPr>
          <w:bCs/>
        </w:rPr>
        <w:t>P</w:t>
      </w:r>
      <w:r w:rsidR="00D133A2" w:rsidRPr="00C205B0">
        <w:rPr>
          <w:bCs/>
        </w:rPr>
        <w:t>ro dovozy kulturních statků z UK</w:t>
      </w:r>
      <w:r w:rsidR="009B6978">
        <w:t xml:space="preserve"> se uplatn</w:t>
      </w:r>
      <w:r>
        <w:t>í</w:t>
      </w:r>
      <w:r w:rsidR="00D133A2" w:rsidRPr="002156B9">
        <w:t xml:space="preserve"> </w:t>
      </w:r>
      <w:r w:rsidR="00D133A2" w:rsidRPr="00C205B0">
        <w:rPr>
          <w:bCs/>
        </w:rPr>
        <w:t>Nařízení Evropského parlamentu a Rady (EU) 2019/880 ze dne 17. dubna 2019 o vstupu a dovozu kulturních statků;</w:t>
      </w:r>
      <w:r w:rsidR="00D133A2" w:rsidRPr="00C205B0">
        <w:rPr>
          <w:bCs/>
        </w:rPr>
        <w:br/>
      </w:r>
      <w:r w:rsidR="00D133A2" w:rsidRPr="002156B9">
        <w:t xml:space="preserve">Podle Nařízení 2019/880  podléhá regulaci dovoz kategorií kulturních statků, které jsou uvedeny v částech A </w:t>
      </w:r>
      <w:proofErr w:type="spellStart"/>
      <w:r w:rsidR="00D133A2" w:rsidRPr="002156B9">
        <w:t>a</w:t>
      </w:r>
      <w:proofErr w:type="spellEnd"/>
      <w:r w:rsidR="00D133A2" w:rsidRPr="002156B9">
        <w:t xml:space="preserve"> B přílohy tohoto nařízení.</w:t>
      </w:r>
      <w:r w:rsidR="00D133A2" w:rsidRPr="00C205B0">
        <w:rPr>
          <w:bCs/>
        </w:rPr>
        <w:t xml:space="preserve"> Toto nařízení by se však nedotklo navracení kulturních statků dočasně zapůjčených do UK za účely vystavování, restaurování, akademických účelů, protože pro tyto případy není vyžadována dovozní licence ani registrace.</w:t>
      </w:r>
    </w:p>
    <w:p w:rsidR="00C033D9" w:rsidRDefault="00EF234A" w:rsidP="00C205B0">
      <w:pPr>
        <w:jc w:val="both"/>
      </w:pPr>
      <w:r>
        <w:t>N</w:t>
      </w:r>
      <w:r w:rsidR="00D133A2" w:rsidRPr="002156B9">
        <w:t>a UK by se již nevztahovala</w:t>
      </w:r>
      <w:r w:rsidR="00D133A2" w:rsidRPr="00C205B0">
        <w:rPr>
          <w:bCs/>
        </w:rPr>
        <w:t xml:space="preserve"> Směrnice Evropského parlamentu a Rady 2014/60/EU o navracení kulturních statků neoprávněně vyvezených z území členského státu</w:t>
      </w:r>
      <w:r w:rsidR="00D133A2" w:rsidRPr="002156B9">
        <w:t>, implementovaná do českého práva Zákonem č. 101/2001 Sb., o navracení nezákonně vyvezených kulturních statků.</w:t>
      </w:r>
    </w:p>
    <w:p w:rsidR="00EF234A" w:rsidRPr="00EF234A" w:rsidRDefault="00EF234A" w:rsidP="00C205B0">
      <w:pPr>
        <w:jc w:val="both"/>
        <w:rPr>
          <w:rFonts w:cs="Times New Roman"/>
          <w:szCs w:val="24"/>
        </w:rPr>
      </w:pPr>
      <w:r w:rsidRPr="00EF234A">
        <w:rPr>
          <w:rFonts w:cs="Times New Roman"/>
          <w:szCs w:val="24"/>
        </w:rPr>
        <w:t xml:space="preserve">Pro vývoz kulturních památek podle § 20 zákona č. 20/1987 Sb., o státní památkové péči, ve znění pozdějších předpisů, je již nyní kodifikován tak, že každý vývoz kulturní památky mimo hranice České republiky, byť v rámci EU, vyžaduje povolení Ministerstva kultury. Nastaven je i proces vývozu kulturních památek mimo EU, po datu </w:t>
      </w:r>
      <w:proofErr w:type="spellStart"/>
      <w:r w:rsidRPr="00EF234A">
        <w:rPr>
          <w:rFonts w:cs="Times New Roman"/>
          <w:szCs w:val="24"/>
        </w:rPr>
        <w:t>brexitu</w:t>
      </w:r>
      <w:proofErr w:type="spellEnd"/>
      <w:r w:rsidRPr="00EF234A">
        <w:rPr>
          <w:rFonts w:cs="Times New Roman"/>
          <w:szCs w:val="24"/>
        </w:rPr>
        <w:t xml:space="preserve"> bude tedy aplikován tento již běžně praktikovaný režim. </w:t>
      </w:r>
    </w:p>
    <w:p w:rsidR="00C033D9" w:rsidRPr="00EF234A" w:rsidRDefault="00C033D9" w:rsidP="00C033D9">
      <w:pPr>
        <w:spacing w:after="0"/>
        <w:rPr>
          <w:u w:val="single"/>
        </w:rPr>
      </w:pPr>
      <w:r w:rsidRPr="00EF234A">
        <w:rPr>
          <w:u w:val="single"/>
        </w:rPr>
        <w:t>Uznávání odborných kvalifikací:</w:t>
      </w:r>
    </w:p>
    <w:p w:rsidR="004B72D3" w:rsidRDefault="009C64FB" w:rsidP="00FC0C3E">
      <w:pPr>
        <w:pStyle w:val="Default"/>
        <w:spacing w:line="276" w:lineRule="auto"/>
        <w:jc w:val="both"/>
      </w:pPr>
      <w:r>
        <w:rPr>
          <w:color w:val="auto"/>
        </w:rPr>
        <w:t xml:space="preserve">Z této oblasti se MK týká profese restaurátora a archeologa. MK se řídí směrnicí </w:t>
      </w:r>
      <w:r w:rsidRPr="00C033D9">
        <w:rPr>
          <w:color w:val="auto"/>
        </w:rPr>
        <w:t>2005/36/ES o uznávání odborných kvalifikac</w:t>
      </w:r>
      <w:r>
        <w:rPr>
          <w:color w:val="auto"/>
        </w:rPr>
        <w:t>í</w:t>
      </w:r>
      <w:r w:rsidR="00D133A2">
        <w:rPr>
          <w:color w:val="auto"/>
        </w:rPr>
        <w:t xml:space="preserve"> a </w:t>
      </w:r>
      <w:r w:rsidR="00D133A2" w:rsidRPr="00C033D9">
        <w:t>zákon</w:t>
      </w:r>
      <w:r w:rsidR="00D133A2">
        <w:t>em</w:t>
      </w:r>
      <w:r w:rsidR="00D133A2" w:rsidRPr="00C033D9">
        <w:t xml:space="preserve"> č. 74/2019 Sb., </w:t>
      </w:r>
      <w:r w:rsidR="00D133A2" w:rsidRPr="00C033D9">
        <w:rPr>
          <w:bCs/>
        </w:rPr>
        <w:t>o úpravě některých vztahů v souvislosti s vystoupením Spojeného království Velké Británie a Severního Irska z Evropské unie, který upravuje i uznávání odborných kvalifikací</w:t>
      </w:r>
      <w:r>
        <w:rPr>
          <w:color w:val="auto"/>
        </w:rPr>
        <w:t>.</w:t>
      </w:r>
      <w:r w:rsidR="00FC0C3E">
        <w:rPr>
          <w:color w:val="auto"/>
        </w:rPr>
        <w:t xml:space="preserve"> U</w:t>
      </w:r>
      <w:r w:rsidR="004B72D3">
        <w:rPr>
          <w:color w:val="auto"/>
        </w:rPr>
        <w:t xml:space="preserve">znávání </w:t>
      </w:r>
      <w:r w:rsidR="00FC0C3E">
        <w:rPr>
          <w:color w:val="auto"/>
        </w:rPr>
        <w:t xml:space="preserve">se </w:t>
      </w:r>
      <w:r w:rsidR="004B72D3">
        <w:rPr>
          <w:color w:val="auto"/>
        </w:rPr>
        <w:t xml:space="preserve">bude řídit podle data nabytí. Pokud byla </w:t>
      </w:r>
      <w:r w:rsidR="00FC0C3E">
        <w:rPr>
          <w:color w:val="auto"/>
        </w:rPr>
        <w:t xml:space="preserve">odborná </w:t>
      </w:r>
      <w:r w:rsidR="004B72D3">
        <w:rPr>
          <w:color w:val="auto"/>
        </w:rPr>
        <w:t xml:space="preserve">kvalifikace uznána nebo byla podána žádost o </w:t>
      </w:r>
      <w:r w:rsidR="00FC0C3E">
        <w:rPr>
          <w:color w:val="auto"/>
        </w:rPr>
        <w:t xml:space="preserve">její </w:t>
      </w:r>
      <w:r w:rsidR="004B72D3">
        <w:rPr>
          <w:color w:val="auto"/>
        </w:rPr>
        <w:t xml:space="preserve">uznání před výstupem Velké Británie z EU, bude s ní nakládáno jako se žádostmi občanů EU a o žádosti </w:t>
      </w:r>
      <w:r w:rsidR="004B72D3">
        <w:rPr>
          <w:color w:val="auto"/>
        </w:rPr>
        <w:lastRenderedPageBreak/>
        <w:t xml:space="preserve">bude rozhodnuto dle zákona </w:t>
      </w:r>
      <w:r w:rsidR="004B72D3">
        <w:t xml:space="preserve">č. 18/2004 Sb., o uznávání odborné kvalifikace. </w:t>
      </w:r>
      <w:r w:rsidR="00FC0C3E">
        <w:t>Pokud bude žádost o uznání odborné kvalifikace podána až po datu vystoupení Velké Británie z EU, bude se na ni vztahovat zákon č. 74/2019 Sb.,</w:t>
      </w:r>
      <w:r w:rsidR="00FC0C3E" w:rsidRPr="00FC0C3E">
        <w:rPr>
          <w:bCs/>
        </w:rPr>
        <w:t xml:space="preserve"> </w:t>
      </w:r>
      <w:r w:rsidR="00FC0C3E" w:rsidRPr="00C033D9">
        <w:rPr>
          <w:bCs/>
        </w:rPr>
        <w:t>o úpravě některých vztahů v souvislosti s vystoupením Spojeného království Velké Británie a Severního Irska z Evropské unie</w:t>
      </w:r>
      <w:r w:rsidR="00FC0C3E">
        <w:t xml:space="preserve"> a bude dle konkrétní nastalé situace posouzena.  </w:t>
      </w:r>
      <w:r w:rsidR="00FC0C3E">
        <w:rPr>
          <w:color w:val="auto"/>
        </w:rPr>
        <w:t xml:space="preserve">V těchto záležitostech MK spolupracuje s gestorem směrnice MŠMT. </w:t>
      </w:r>
      <w:r w:rsidR="004B72D3">
        <w:t xml:space="preserve">  </w:t>
      </w:r>
    </w:p>
    <w:p w:rsidR="00EF234A" w:rsidRDefault="00EF234A" w:rsidP="00FC0C3E">
      <w:pPr>
        <w:pStyle w:val="Default"/>
        <w:spacing w:line="276" w:lineRule="auto"/>
        <w:jc w:val="both"/>
      </w:pPr>
    </w:p>
    <w:p w:rsidR="00C033D9" w:rsidRPr="002B6BB2" w:rsidRDefault="00EF234A" w:rsidP="002B6BB2">
      <w:pPr>
        <w:jc w:val="both"/>
        <w:rPr>
          <w:rFonts w:cs="Times New Roman"/>
          <w:szCs w:val="24"/>
        </w:rPr>
      </w:pPr>
      <w:r w:rsidRPr="00EF234A">
        <w:rPr>
          <w:rFonts w:cs="Times New Roman"/>
          <w:szCs w:val="24"/>
        </w:rPr>
        <w:t xml:space="preserve">Co se týče uznávání odborné kvalifikace, pak čl. 27 Dohody konstatuje, že uznání odborných kvalifikací občanů Unie nebo státních příslušníků Spojeného království a jejich rodinných příslušníků hostitelským státem nebo státem výkonu práce před koncem přechodného období, dle příslušných ustanovení, má účinky v příslušném státě, včetně práva na výkon povolání za stejných podmínek, jaké platí pro státní příslušníky tohoto státu, </w:t>
      </w:r>
      <w:r>
        <w:rPr>
          <w:rFonts w:cs="Times New Roman"/>
          <w:szCs w:val="24"/>
        </w:rPr>
        <w:t xml:space="preserve">což je pro MK </w:t>
      </w:r>
      <w:r w:rsidRPr="00EF234A">
        <w:rPr>
          <w:rFonts w:cs="Times New Roman"/>
          <w:szCs w:val="24"/>
        </w:rPr>
        <w:t>naprosto akcept</w:t>
      </w:r>
      <w:r>
        <w:rPr>
          <w:rFonts w:cs="Times New Roman"/>
          <w:szCs w:val="24"/>
        </w:rPr>
        <w:t>ovatelné.</w:t>
      </w:r>
      <w:r w:rsidRPr="00EF234A">
        <w:rPr>
          <w:rFonts w:cs="Times New Roman"/>
          <w:szCs w:val="24"/>
        </w:rPr>
        <w:t xml:space="preserve"> Po </w:t>
      </w:r>
      <w:proofErr w:type="spellStart"/>
      <w:r w:rsidRPr="00EF234A">
        <w:rPr>
          <w:rFonts w:cs="Times New Roman"/>
          <w:szCs w:val="24"/>
        </w:rPr>
        <w:t>brexitu</w:t>
      </w:r>
      <w:proofErr w:type="spellEnd"/>
      <w:r w:rsidRPr="00EF234A">
        <w:rPr>
          <w:rFonts w:cs="Times New Roman"/>
          <w:szCs w:val="24"/>
        </w:rPr>
        <w:t xml:space="preserve"> pak bude výkon památkových povolání (restaurování kulturních památek, provádění archeologických výzkumů) umožněn dle příslušných ustanovení výše citovaného zákona o státní památkové péči. </w:t>
      </w:r>
    </w:p>
    <w:p w:rsidR="002C3A1B" w:rsidRPr="007F5357" w:rsidRDefault="002C3A1B" w:rsidP="00887B5F">
      <w:pPr>
        <w:spacing w:after="0"/>
        <w:jc w:val="both"/>
        <w:rPr>
          <w:u w:val="single"/>
        </w:rPr>
      </w:pPr>
      <w:r w:rsidRPr="007F5357">
        <w:rPr>
          <w:u w:val="single"/>
        </w:rPr>
        <w:t>O</w:t>
      </w:r>
      <w:r w:rsidR="002B6BB2">
        <w:rPr>
          <w:u w:val="single"/>
        </w:rPr>
        <w:t>blast</w:t>
      </w:r>
      <w:r w:rsidR="003C5EC9" w:rsidRPr="007F5357">
        <w:rPr>
          <w:u w:val="single"/>
        </w:rPr>
        <w:t xml:space="preserve"> </w:t>
      </w:r>
      <w:r w:rsidRPr="007F5357">
        <w:rPr>
          <w:u w:val="single"/>
        </w:rPr>
        <w:t xml:space="preserve">médií a </w:t>
      </w:r>
      <w:r w:rsidR="003C5EC9" w:rsidRPr="007F5357">
        <w:rPr>
          <w:u w:val="single"/>
        </w:rPr>
        <w:t xml:space="preserve">audiovize </w:t>
      </w:r>
    </w:p>
    <w:p w:rsidR="003C5EC9" w:rsidRDefault="007F5357" w:rsidP="00887B5F">
      <w:pPr>
        <w:spacing w:after="0"/>
        <w:jc w:val="both"/>
      </w:pPr>
      <w:r>
        <w:t>V oblasti médií a audiovize bude</w:t>
      </w:r>
      <w:r w:rsidR="003C5EC9">
        <w:t xml:space="preserve"> nutné aplikovat režim dle Evropské úmluvy o přeshraniční televizi Rady Evropy, neboť UK i ČR jsou smluvními stranami této úmluvy. Tato úmluva v řadě aspektů pokrývá stejné oblasti jako směrnice o audiovizuálních mediálních slu</w:t>
      </w:r>
      <w:r>
        <w:t>žbách, nicméně režimy dle Ú</w:t>
      </w:r>
      <w:r w:rsidR="003C5EC9">
        <w:t xml:space="preserve">mluvy a dle směrnice nejsou zcela kompatibilní. </w:t>
      </w:r>
      <w:r w:rsidR="00F7453D">
        <w:t xml:space="preserve">UK deklarovalo záměr implementovat směrnici o audiovizuálních mediálních službách do svého </w:t>
      </w:r>
      <w:r w:rsidR="00E7326A">
        <w:t xml:space="preserve">právního řádu ve zkrácené lhůtě, čímž se případné rozdíly významně eliminují.  Dopady </w:t>
      </w:r>
      <w:r w:rsidR="003C5EC9">
        <w:t xml:space="preserve">v praxi </w:t>
      </w:r>
      <w:r w:rsidR="00E7326A">
        <w:t xml:space="preserve">budou znamenat tu skutečnost, že </w:t>
      </w:r>
      <w:r w:rsidR="003C5EC9">
        <w:t>provozovatel</w:t>
      </w:r>
      <w:r w:rsidR="00F7453D">
        <w:t xml:space="preserve">é vysílající na území ČR </w:t>
      </w:r>
      <w:r w:rsidR="00E7326A">
        <w:t xml:space="preserve">budou </w:t>
      </w:r>
      <w:r w:rsidR="00F7453D">
        <w:t xml:space="preserve">žádat </w:t>
      </w:r>
      <w:r w:rsidR="007169A0">
        <w:t xml:space="preserve">o </w:t>
      </w:r>
      <w:r w:rsidR="003C5EC9">
        <w:t xml:space="preserve">přidělení licencí u českého regulátora Rady pro rozhlasové a televizní vysílání, </w:t>
      </w:r>
      <w:r w:rsidR="00E7326A">
        <w:t xml:space="preserve">či jiného regulačního orgánu v některé členské zemi, </w:t>
      </w:r>
      <w:r w:rsidR="003C5EC9">
        <w:t>aby mohli využívat režim směrnice o audiovizuálních mediálních službách. Obdobně případné šíření služeb s českou licencí nebude v UK možné a tyto subjekty budu muset žádat o licenci u tamního regulátora OFCOM.</w:t>
      </w:r>
    </w:p>
    <w:p w:rsidR="002C3A1B" w:rsidRPr="002C3A1B" w:rsidRDefault="002C3A1B" w:rsidP="002C3A1B">
      <w:pPr>
        <w:spacing w:after="0"/>
        <w:jc w:val="both"/>
        <w:rPr>
          <w:rFonts w:cs="Times New Roman"/>
          <w:szCs w:val="24"/>
        </w:rPr>
      </w:pPr>
    </w:p>
    <w:p w:rsidR="003C5EC9" w:rsidRPr="00121D3E" w:rsidRDefault="002C3A1B" w:rsidP="002C3A1B">
      <w:pPr>
        <w:spacing w:after="0"/>
        <w:jc w:val="both"/>
        <w:rPr>
          <w:rFonts w:cs="Times New Roman"/>
          <w:szCs w:val="24"/>
          <w:u w:val="single"/>
        </w:rPr>
      </w:pPr>
      <w:r w:rsidRPr="00121D3E">
        <w:rPr>
          <w:u w:val="single"/>
        </w:rPr>
        <w:t>Duševní vlastnictví – autorské právo</w:t>
      </w:r>
    </w:p>
    <w:p w:rsidR="00D133A2" w:rsidRDefault="00887B5F" w:rsidP="002C3A1B">
      <w:pPr>
        <w:jc w:val="both"/>
      </w:pPr>
      <w:r>
        <w:t xml:space="preserve">V rámci Rady pro konkurenceschopnost je MK gestorem v části duševní vlastnictví – autorské právo. </w:t>
      </w:r>
    </w:p>
    <w:p w:rsidR="00887B5F" w:rsidRDefault="00D133A2" w:rsidP="002C3A1B">
      <w:pPr>
        <w:jc w:val="both"/>
        <w:rPr>
          <w:szCs w:val="24"/>
        </w:rPr>
      </w:pPr>
      <w:r>
        <w:rPr>
          <w:szCs w:val="24"/>
        </w:rPr>
        <w:t>Součástí projednávaného návrhu D</w:t>
      </w:r>
      <w:r w:rsidR="00887B5F" w:rsidRPr="00B13D3A">
        <w:rPr>
          <w:szCs w:val="24"/>
        </w:rPr>
        <w:t>ohody o vyst</w:t>
      </w:r>
      <w:r w:rsidR="00887B5F">
        <w:rPr>
          <w:szCs w:val="24"/>
        </w:rPr>
        <w:t xml:space="preserve">oupení Velké Británie z EU </w:t>
      </w:r>
      <w:r w:rsidR="00887B5F" w:rsidRPr="00B13D3A">
        <w:rPr>
          <w:szCs w:val="24"/>
        </w:rPr>
        <w:t>je také oblast duševního vlastnictví obsažená v části III, hlavě IV</w:t>
      </w:r>
      <w:r w:rsidR="00887B5F">
        <w:rPr>
          <w:szCs w:val="24"/>
        </w:rPr>
        <w:t>. A</w:t>
      </w:r>
      <w:r w:rsidR="00887B5F" w:rsidRPr="008573A3">
        <w:rPr>
          <w:szCs w:val="24"/>
        </w:rPr>
        <w:t>utorského práva se týká čl. 54,</w:t>
      </w:r>
      <w:r w:rsidR="00887B5F">
        <w:rPr>
          <w:szCs w:val="24"/>
        </w:rPr>
        <w:t xml:space="preserve"> konkrétně ochrany práv k databázím. Dohoda zavádí podmínky pro zachování ochrany databází podle směrnice 96/9/ES o právní ochraně databází. Tato ochrana není předmětem žádné mezinárodní smlouvy a nebude vzájemně uznávána. </w:t>
      </w:r>
    </w:p>
    <w:p w:rsidR="00887B5F" w:rsidRDefault="00887B5F" w:rsidP="002C3A1B">
      <w:pPr>
        <w:jc w:val="both"/>
        <w:rPr>
          <w:szCs w:val="24"/>
        </w:rPr>
      </w:pPr>
      <w:r>
        <w:rPr>
          <w:szCs w:val="24"/>
        </w:rPr>
        <w:t xml:space="preserve">V ostatních oblastech autorského práva se vztahy mezi UK a ČR budou řídit platnými mezinárodními smlouvami závaznými pro oba státy.  </w:t>
      </w:r>
    </w:p>
    <w:p w:rsidR="00594CCF" w:rsidRDefault="00887B5F" w:rsidP="00887B5F">
      <w:pPr>
        <w:jc w:val="both"/>
        <w:rPr>
          <w:szCs w:val="24"/>
        </w:rPr>
      </w:pPr>
      <w:r>
        <w:rPr>
          <w:szCs w:val="24"/>
        </w:rPr>
        <w:t>V oblastech, které mezinárodními smlouvami upraveny nejsou, tj</w:t>
      </w:r>
      <w:r w:rsidRPr="00C27D37">
        <w:rPr>
          <w:szCs w:val="24"/>
        </w:rPr>
        <w:t xml:space="preserve">. </w:t>
      </w:r>
      <w:r>
        <w:rPr>
          <w:szCs w:val="24"/>
        </w:rPr>
        <w:t>např. nařízení o přenositelnosti služeb online (o portabilitě), směrnice o osiřelých dílech (2012/28/EU), o kolektivní správě práv (2014/26/EU),</w:t>
      </w:r>
      <w:r w:rsidRPr="00C27D37">
        <w:rPr>
          <w:szCs w:val="24"/>
        </w:rPr>
        <w:t xml:space="preserve"> nebo </w:t>
      </w:r>
      <w:r>
        <w:rPr>
          <w:szCs w:val="24"/>
        </w:rPr>
        <w:t xml:space="preserve">směrnice o autorském právu a právech s ním </w:t>
      </w:r>
      <w:r>
        <w:rPr>
          <w:szCs w:val="24"/>
        </w:rPr>
        <w:lastRenderedPageBreak/>
        <w:t xml:space="preserve">souvisejících na jednotném digitálním trhu (2019/790/EU) nebude unijní úprava pro UK závazná, tudíž na dotčené subjekty se nebudou vztahovat příslušné povinnosti a zároveň nebude možno využívat příslušných výhod z takových předpisů vyplývajících. </w:t>
      </w:r>
    </w:p>
    <w:p w:rsidR="0017742C" w:rsidRDefault="0017742C" w:rsidP="0017742C">
      <w:pPr>
        <w:rPr>
          <w:b/>
        </w:rPr>
      </w:pPr>
      <w:r>
        <w:rPr>
          <w:b/>
        </w:rPr>
        <w:t>Důležité odkazy:</w:t>
      </w:r>
    </w:p>
    <w:p w:rsidR="0017742C" w:rsidRDefault="0017742C" w:rsidP="0017742C">
      <w:pPr>
        <w:rPr>
          <w:rStyle w:val="Hypertextovodkaz"/>
          <w:rFonts w:ascii="Roboto" w:hAnsi="Roboto" w:cs="Segoe UI"/>
        </w:rPr>
      </w:pPr>
      <w:proofErr w:type="spellStart"/>
      <w:r>
        <w:rPr>
          <w:rFonts w:ascii="Roboto" w:hAnsi="Roboto" w:cs="Segoe UI"/>
        </w:rPr>
        <w:t>Nadrezortní</w:t>
      </w:r>
      <w:proofErr w:type="spellEnd"/>
      <w:r>
        <w:rPr>
          <w:rFonts w:ascii="Roboto" w:hAnsi="Roboto" w:cs="Segoe UI"/>
        </w:rPr>
        <w:t xml:space="preserve"> webové stránky k </w:t>
      </w:r>
      <w:proofErr w:type="spellStart"/>
      <w:r>
        <w:rPr>
          <w:rFonts w:ascii="Roboto" w:hAnsi="Roboto" w:cs="Segoe UI"/>
        </w:rPr>
        <w:t>brexitu</w:t>
      </w:r>
      <w:proofErr w:type="spellEnd"/>
      <w:r>
        <w:rPr>
          <w:rFonts w:ascii="Roboto" w:hAnsi="Roboto" w:cs="Segoe UI"/>
        </w:rPr>
        <w:t xml:space="preserve"> (</w:t>
      </w:r>
      <w:proofErr w:type="spellStart"/>
      <w:r>
        <w:rPr>
          <w:rFonts w:ascii="Roboto" w:hAnsi="Roboto" w:cs="Segoe UI"/>
        </w:rPr>
        <w:t>Brexitinfo</w:t>
      </w:r>
      <w:proofErr w:type="spellEnd"/>
      <w:r>
        <w:rPr>
          <w:rFonts w:ascii="Roboto" w:hAnsi="Roboto" w:cs="Segoe UI"/>
        </w:rPr>
        <w:t>)</w:t>
      </w:r>
      <w:r>
        <w:rPr>
          <w:rFonts w:ascii="Roboto" w:hAnsi="Roboto" w:cs="Segoe UI"/>
        </w:rPr>
        <w:br/>
      </w:r>
      <w:hyperlink r:id="rId6" w:history="1">
        <w:r>
          <w:rPr>
            <w:rStyle w:val="Hypertextovodkaz"/>
            <w:rFonts w:ascii="Roboto" w:hAnsi="Roboto" w:cs="Segoe UI"/>
          </w:rPr>
          <w:t>https://www.brexitinfo.cz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Úřad vlády</w:t>
      </w:r>
      <w:r>
        <w:rPr>
          <w:rFonts w:ascii="Roboto" w:hAnsi="Roboto" w:cs="Segoe UI"/>
        </w:rPr>
        <w:br/>
      </w:r>
      <w:hyperlink r:id="rId7" w:history="1">
        <w:r>
          <w:rPr>
            <w:rStyle w:val="Hypertextovodkaz"/>
            <w:rFonts w:ascii="Roboto" w:hAnsi="Roboto" w:cs="Segoe UI"/>
          </w:rPr>
          <w:t>https://www.vlada.cz/cz/evropske-zalezitosti/Brexit</w:t>
        </w:r>
      </w:hyperlink>
    </w:p>
    <w:p w:rsidR="0017742C" w:rsidRDefault="0017742C" w:rsidP="0017742C">
      <w:r>
        <w:rPr>
          <w:rFonts w:ascii="Roboto" w:hAnsi="Roboto" w:cs="Segoe UI"/>
        </w:rPr>
        <w:t> </w:t>
      </w:r>
      <w:r>
        <w:rPr>
          <w:rFonts w:ascii="Roboto" w:hAnsi="Roboto" w:cs="Segoe UI"/>
        </w:rPr>
        <w:br/>
      </w:r>
      <w:proofErr w:type="spellStart"/>
      <w:r>
        <w:rPr>
          <w:rFonts w:ascii="Roboto" w:hAnsi="Roboto" w:cs="Segoe UI"/>
          <w:u w:val="single"/>
        </w:rPr>
        <w:t>Businessinfo</w:t>
      </w:r>
      <w:proofErr w:type="spellEnd"/>
      <w:r>
        <w:rPr>
          <w:rFonts w:ascii="Roboto" w:hAnsi="Roboto" w:cs="Segoe UI"/>
        </w:rPr>
        <w:br/>
      </w:r>
      <w:hyperlink r:id="rId8" w:tooltip="Pomocí zkráceného URL k informacím snadno a rychle! Na domácí stránce stačí napsat do url /brexit" w:history="1">
        <w:r>
          <w:rPr>
            <w:rStyle w:val="Hypertextovodkaz"/>
            <w:rFonts w:ascii="Roboto" w:hAnsi="Roboto" w:cs="Segoe UI"/>
          </w:rPr>
          <w:t>www.businessinfo.cz/brexit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Evropská komise (Vyjednávací tým)</w:t>
      </w:r>
      <w:r>
        <w:rPr>
          <w:rFonts w:ascii="Roboto" w:hAnsi="Roboto" w:cs="Segoe UI"/>
        </w:rPr>
        <w:br/>
      </w:r>
      <w:hyperlink r:id="rId9" w:history="1">
        <w:r>
          <w:rPr>
            <w:rStyle w:val="Hypertextovodkaz"/>
            <w:rFonts w:ascii="Roboto" w:hAnsi="Roboto" w:cs="Segoe UI"/>
          </w:rPr>
          <w:t>https://ec.europa.eu/info/departments/taskforce-article-50-negotiations-united-kingdom_en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Evropská komise (Připravenost)</w:t>
      </w:r>
      <w:r>
        <w:rPr>
          <w:rFonts w:ascii="Roboto" w:hAnsi="Roboto" w:cs="Segoe UI"/>
        </w:rPr>
        <w:br/>
      </w:r>
      <w:hyperlink r:id="rId10" w:history="1">
        <w:r>
          <w:rPr>
            <w:rStyle w:val="Hypertextovodkaz"/>
            <w:rFonts w:ascii="Roboto" w:hAnsi="Roboto" w:cs="Segoe UI"/>
          </w:rPr>
          <w:t>https://ec.europa.eu/info/brexit/brexit-preparedness_en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Evropský parlament (</w:t>
      </w:r>
      <w:proofErr w:type="spellStart"/>
      <w:r>
        <w:rPr>
          <w:rFonts w:ascii="Roboto" w:hAnsi="Roboto" w:cs="Segoe UI"/>
        </w:rPr>
        <w:t>Brexit</w:t>
      </w:r>
      <w:proofErr w:type="spellEnd"/>
      <w:r>
        <w:rPr>
          <w:rFonts w:ascii="Roboto" w:hAnsi="Roboto" w:cs="Segoe UI"/>
        </w:rPr>
        <w:t xml:space="preserve"> </w:t>
      </w:r>
      <w:proofErr w:type="spellStart"/>
      <w:r>
        <w:rPr>
          <w:rFonts w:ascii="Roboto" w:hAnsi="Roboto" w:cs="Segoe UI"/>
        </w:rPr>
        <w:t>Steering</w:t>
      </w:r>
      <w:proofErr w:type="spellEnd"/>
      <w:r>
        <w:rPr>
          <w:rFonts w:ascii="Roboto" w:hAnsi="Roboto" w:cs="Segoe UI"/>
        </w:rPr>
        <w:t xml:space="preserve"> Group)</w:t>
      </w:r>
      <w:r>
        <w:rPr>
          <w:rFonts w:ascii="Roboto" w:hAnsi="Roboto" w:cs="Segoe UI"/>
        </w:rPr>
        <w:br/>
      </w:r>
      <w:hyperlink r:id="rId11" w:history="1">
        <w:r>
          <w:rPr>
            <w:rStyle w:val="Hypertextovodkaz"/>
            <w:rFonts w:ascii="Roboto" w:hAnsi="Roboto" w:cs="Segoe UI"/>
          </w:rPr>
          <w:t>http://www.europarl.europa.eu/brexit-steering-group/en/home.html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Vláda Velké Británie</w:t>
      </w:r>
      <w:r>
        <w:rPr>
          <w:rFonts w:ascii="Roboto" w:hAnsi="Roboto" w:cs="Segoe UI"/>
        </w:rPr>
        <w:br/>
      </w:r>
      <w:hyperlink r:id="rId12" w:history="1">
        <w:r>
          <w:rPr>
            <w:rStyle w:val="Hypertextovodkaz"/>
            <w:rFonts w:ascii="Roboto" w:hAnsi="Roboto" w:cs="Segoe UI"/>
          </w:rPr>
          <w:t>https://www.gov.uk/government/brexit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 xml:space="preserve">Odkazy na národní </w:t>
      </w:r>
      <w:proofErr w:type="spellStart"/>
      <w:r>
        <w:rPr>
          <w:rFonts w:ascii="Roboto" w:hAnsi="Roboto" w:cs="Segoe UI"/>
        </w:rPr>
        <w:t>brexitové</w:t>
      </w:r>
      <w:proofErr w:type="spellEnd"/>
      <w:r>
        <w:rPr>
          <w:rFonts w:ascii="Roboto" w:hAnsi="Roboto" w:cs="Segoe UI"/>
        </w:rPr>
        <w:t xml:space="preserve"> weby členských států EU</w:t>
      </w:r>
      <w:r>
        <w:rPr>
          <w:rFonts w:ascii="Roboto" w:hAnsi="Roboto" w:cs="Segoe UI"/>
        </w:rPr>
        <w:br/>
      </w:r>
      <w:hyperlink r:id="rId13" w:history="1">
        <w:r>
          <w:rPr>
            <w:rStyle w:val="Hypertextovodkaz"/>
            <w:rFonts w:ascii="Roboto" w:hAnsi="Roboto" w:cs="Segoe UI"/>
          </w:rPr>
          <w:t>https://ec.europa.eu/info/brexit/brexit-preparedness/national-brexit-information-member-states_en</w:t>
        </w:r>
      </w:hyperlink>
      <w:r>
        <w:rPr>
          <w:rFonts w:ascii="Roboto" w:hAnsi="Roboto" w:cs="Segoe UI"/>
        </w:rPr>
        <w:br/>
        <w:t> </w:t>
      </w:r>
    </w:p>
    <w:p w:rsidR="00EF234A" w:rsidRDefault="00EF234A" w:rsidP="00887B5F">
      <w:pPr>
        <w:jc w:val="both"/>
        <w:rPr>
          <w:szCs w:val="24"/>
        </w:rPr>
      </w:pPr>
      <w:bookmarkStart w:id="0" w:name="_GoBack"/>
      <w:bookmarkEnd w:id="0"/>
    </w:p>
    <w:p w:rsidR="00EF234A" w:rsidRPr="00887B5F" w:rsidRDefault="00EF234A" w:rsidP="00887B5F">
      <w:pPr>
        <w:jc w:val="both"/>
        <w:rPr>
          <w:szCs w:val="24"/>
        </w:rPr>
      </w:pPr>
    </w:p>
    <w:sectPr w:rsidR="00EF234A" w:rsidRPr="0088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BEF"/>
    <w:multiLevelType w:val="hybridMultilevel"/>
    <w:tmpl w:val="312A6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94182"/>
    <w:multiLevelType w:val="hybridMultilevel"/>
    <w:tmpl w:val="163E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59"/>
    <w:rsid w:val="000E6089"/>
    <w:rsid w:val="00121D3E"/>
    <w:rsid w:val="0017742C"/>
    <w:rsid w:val="002156B9"/>
    <w:rsid w:val="002205FC"/>
    <w:rsid w:val="00264C1F"/>
    <w:rsid w:val="002B6BB2"/>
    <w:rsid w:val="002C3A1B"/>
    <w:rsid w:val="003C2CB6"/>
    <w:rsid w:val="003C5EC9"/>
    <w:rsid w:val="00442A63"/>
    <w:rsid w:val="004B72D3"/>
    <w:rsid w:val="00594CCF"/>
    <w:rsid w:val="0063099F"/>
    <w:rsid w:val="007169A0"/>
    <w:rsid w:val="007F5357"/>
    <w:rsid w:val="008165DB"/>
    <w:rsid w:val="00887B5F"/>
    <w:rsid w:val="008A786E"/>
    <w:rsid w:val="00907C5E"/>
    <w:rsid w:val="009B6978"/>
    <w:rsid w:val="009C64FB"/>
    <w:rsid w:val="009E418D"/>
    <w:rsid w:val="00A96D16"/>
    <w:rsid w:val="00AD38F4"/>
    <w:rsid w:val="00AF3E66"/>
    <w:rsid w:val="00C033D9"/>
    <w:rsid w:val="00C205B0"/>
    <w:rsid w:val="00C22572"/>
    <w:rsid w:val="00C23547"/>
    <w:rsid w:val="00CA3F87"/>
    <w:rsid w:val="00D133A2"/>
    <w:rsid w:val="00D35F6E"/>
    <w:rsid w:val="00D87159"/>
    <w:rsid w:val="00DD5D19"/>
    <w:rsid w:val="00E309B9"/>
    <w:rsid w:val="00E7326A"/>
    <w:rsid w:val="00EA7EBC"/>
    <w:rsid w:val="00EF234A"/>
    <w:rsid w:val="00F27D7D"/>
    <w:rsid w:val="00F7453D"/>
    <w:rsid w:val="00F9306A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72D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C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CC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C3A1B"/>
    <w:pPr>
      <w:spacing w:after="0" w:line="240" w:lineRule="auto"/>
      <w:ind w:left="720"/>
    </w:pPr>
    <w:rPr>
      <w:rFonts w:cs="Times New Roman"/>
      <w:szCs w:val="24"/>
      <w:lang w:eastAsia="cs-CZ"/>
    </w:rPr>
  </w:style>
  <w:style w:type="paragraph" w:customStyle="1" w:styleId="Default">
    <w:name w:val="Default"/>
    <w:rsid w:val="00C033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B72D3"/>
    <w:rPr>
      <w:rFonts w:eastAsia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72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72D3"/>
    <w:rPr>
      <w:b/>
      <w:bCs/>
    </w:rPr>
  </w:style>
  <w:style w:type="character" w:styleId="Zvraznn">
    <w:name w:val="Emphasis"/>
    <w:basedOn w:val="Standardnpsmoodstavce"/>
    <w:uiPriority w:val="20"/>
    <w:qFormat/>
    <w:rsid w:val="004B72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72D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C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CC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C3A1B"/>
    <w:pPr>
      <w:spacing w:after="0" w:line="240" w:lineRule="auto"/>
      <w:ind w:left="720"/>
    </w:pPr>
    <w:rPr>
      <w:rFonts w:cs="Times New Roman"/>
      <w:szCs w:val="24"/>
      <w:lang w:eastAsia="cs-CZ"/>
    </w:rPr>
  </w:style>
  <w:style w:type="paragraph" w:customStyle="1" w:styleId="Default">
    <w:name w:val="Default"/>
    <w:rsid w:val="00C033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B72D3"/>
    <w:rPr>
      <w:rFonts w:eastAsia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72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72D3"/>
    <w:rPr>
      <w:b/>
      <w:bCs/>
    </w:rPr>
  </w:style>
  <w:style w:type="character" w:styleId="Zvraznn">
    <w:name w:val="Emphasis"/>
    <w:basedOn w:val="Standardnpsmoodstavce"/>
    <w:uiPriority w:val="20"/>
    <w:qFormat/>
    <w:rsid w:val="004B7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fo.cz/brexit" TargetMode="External"/><Relationship Id="rId13" Type="http://schemas.openxmlformats.org/officeDocument/2006/relationships/hyperlink" Target="https://ec.europa.eu/info/brexit/brexit-preparedness/national-brexit-information-member-states_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lada.cz/cz/evropske-zalezitosti/Brexit" TargetMode="External"/><Relationship Id="rId12" Type="http://schemas.openxmlformats.org/officeDocument/2006/relationships/hyperlink" Target="https://www.gov.uk/government/brex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exitinfo.cz/" TargetMode="External"/><Relationship Id="rId11" Type="http://schemas.openxmlformats.org/officeDocument/2006/relationships/hyperlink" Target="http://www.europarl.europa.eu/brexit-steering-group/en/hom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info/brexit/brexit-preparednes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departments/taskforce-article-50-negotiations-united-kingdom_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Orlik</cp:lastModifiedBy>
  <cp:revision>2</cp:revision>
  <cp:lastPrinted>2020-05-28T09:49:00Z</cp:lastPrinted>
  <dcterms:created xsi:type="dcterms:W3CDTF">2020-06-04T09:35:00Z</dcterms:created>
  <dcterms:modified xsi:type="dcterms:W3CDTF">2020-06-04T09:35:00Z</dcterms:modified>
</cp:coreProperties>
</file>