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2121"/>
        <w:tblW w:w="9796" w:type="dxa"/>
        <w:tblCellMar>
          <w:left w:w="70" w:type="dxa"/>
          <w:right w:w="70" w:type="dxa"/>
        </w:tblCellMar>
        <w:tblLook w:val="04A0" w:firstRow="1" w:lastRow="0" w:firstColumn="1" w:lastColumn="0" w:noHBand="0" w:noVBand="1"/>
      </w:tblPr>
      <w:tblGrid>
        <w:gridCol w:w="6156"/>
        <w:gridCol w:w="656"/>
        <w:gridCol w:w="656"/>
        <w:gridCol w:w="656"/>
        <w:gridCol w:w="656"/>
        <w:gridCol w:w="1016"/>
      </w:tblGrid>
      <w:tr w:rsidR="00AB4CD2" w:rsidRPr="00AB4CD2" w:rsidTr="003B02AE">
        <w:trPr>
          <w:trHeight w:val="285"/>
        </w:trPr>
        <w:tc>
          <w:tcPr>
            <w:tcW w:w="979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4CD2" w:rsidRDefault="00AB4CD2" w:rsidP="003B02AE">
            <w:pPr>
              <w:spacing w:line="240" w:lineRule="auto"/>
              <w:jc w:val="both"/>
              <w:rPr>
                <w:rFonts w:eastAsia="Times New Roman" w:cs="Times New Roman"/>
                <w:bCs/>
                <w:sz w:val="24"/>
                <w:szCs w:val="24"/>
                <w:lang w:eastAsia="cs-CZ"/>
              </w:rPr>
            </w:pPr>
          </w:p>
          <w:p w:rsidR="003B02AE" w:rsidRDefault="003B02AE" w:rsidP="003B02AE">
            <w:pPr>
              <w:spacing w:line="240" w:lineRule="auto"/>
              <w:jc w:val="both"/>
              <w:rPr>
                <w:rFonts w:eastAsia="Times New Roman" w:cs="Times New Roman"/>
                <w:bCs/>
                <w:sz w:val="24"/>
                <w:szCs w:val="24"/>
                <w:lang w:eastAsia="cs-CZ"/>
              </w:rPr>
            </w:pPr>
          </w:p>
          <w:p w:rsidR="003B02AE" w:rsidRDefault="003B02AE" w:rsidP="003B02AE">
            <w:pPr>
              <w:spacing w:line="240" w:lineRule="auto"/>
              <w:jc w:val="both"/>
              <w:rPr>
                <w:b/>
              </w:rPr>
            </w:pPr>
            <w:r w:rsidRPr="003B02AE">
              <w:rPr>
                <w:b/>
              </w:rPr>
              <w:t xml:space="preserve">Dotace SOEU je určena </w:t>
            </w:r>
            <w:proofErr w:type="gramStart"/>
            <w:r w:rsidRPr="003B02AE">
              <w:rPr>
                <w:b/>
              </w:rPr>
              <w:t>na  projekty</w:t>
            </w:r>
            <w:proofErr w:type="gramEnd"/>
            <w:r w:rsidRPr="003B02AE">
              <w:rPr>
                <w:b/>
              </w:rPr>
              <w:t xml:space="preserve"> podporované z programu EU Kultura a navazujícího programu Kreativní Evropa</w:t>
            </w:r>
            <w:r>
              <w:rPr>
                <w:b/>
              </w:rPr>
              <w:t>.</w:t>
            </w:r>
          </w:p>
          <w:p w:rsidR="003B02AE" w:rsidRDefault="003B02AE" w:rsidP="003B02AE">
            <w:pPr>
              <w:spacing w:line="240" w:lineRule="auto"/>
              <w:jc w:val="both"/>
              <w:rPr>
                <w:b/>
              </w:rPr>
            </w:pPr>
          </w:p>
          <w:p w:rsidR="003B02AE" w:rsidRDefault="003B02AE" w:rsidP="003B02AE">
            <w:pPr>
              <w:spacing w:line="240" w:lineRule="auto"/>
              <w:jc w:val="both"/>
            </w:pPr>
            <w:r w:rsidRPr="001A3C43">
              <w:rPr>
                <w:b/>
              </w:rPr>
              <w:t>Formulář</w:t>
            </w:r>
            <w:r>
              <w:rPr>
                <w:b/>
              </w:rPr>
              <w:t>e</w:t>
            </w:r>
            <w:r w:rsidRPr="001A3C43">
              <w:rPr>
                <w:b/>
              </w:rPr>
              <w:t xml:space="preserve"> žádosti a rozpočtu a ostatní povinné přílohy se odevzdávají v jednom písemném vyhotovení </w:t>
            </w:r>
            <w:r w:rsidRPr="00131696">
              <w:t xml:space="preserve">poštou na adresu: Ministerstvo kultury ČR, </w:t>
            </w:r>
            <w:r>
              <w:t>Samostatné oddělení Evropské unie</w:t>
            </w:r>
            <w:r w:rsidRPr="00131696">
              <w:t>, Maltézské náměstí 1, 118 11 Praha nebo osobně prostřednictvím podatelny Min</w:t>
            </w:r>
            <w:r>
              <w:t>isterstva kultury (adresa dtto).</w:t>
            </w:r>
          </w:p>
          <w:p w:rsidR="003B02AE" w:rsidRDefault="003B02AE" w:rsidP="003B02AE">
            <w:pPr>
              <w:spacing w:line="240" w:lineRule="auto"/>
              <w:jc w:val="both"/>
            </w:pPr>
            <w:r w:rsidRPr="001A3C43">
              <w:rPr>
                <w:b/>
              </w:rPr>
              <w:t>F</w:t>
            </w:r>
            <w:r>
              <w:rPr>
                <w:b/>
              </w:rPr>
              <w:t>ormulář</w:t>
            </w:r>
            <w:r w:rsidRPr="001A3C43">
              <w:rPr>
                <w:b/>
              </w:rPr>
              <w:t xml:space="preserve"> žádosti, rozpočtu a popis projektu</w:t>
            </w:r>
            <w:r>
              <w:t xml:space="preserve"> a dokumenty dokládající právní subjektivitu, zřízení bankovního </w:t>
            </w:r>
            <w:proofErr w:type="gramStart"/>
            <w:r>
              <w:t>účtu,  kopie</w:t>
            </w:r>
            <w:proofErr w:type="gramEnd"/>
            <w:r>
              <w:t xml:space="preserve"> smlouvy o poskytnutí grantu EK (hlavní organizátor) nebo kopii smlouvy o spoluorganizování projektu a doklad o získání finanční podpory projektu z programu Kreativní Evropa (účastník projektu)</w:t>
            </w:r>
          </w:p>
          <w:p w:rsidR="005A231D" w:rsidRPr="003B02AE" w:rsidRDefault="005A231D" w:rsidP="003B02AE">
            <w:pPr>
              <w:spacing w:line="240" w:lineRule="auto"/>
              <w:jc w:val="both"/>
              <w:rPr>
                <w:rFonts w:eastAsia="Times New Roman" w:cs="Times New Roman"/>
                <w:b/>
                <w:bCs/>
                <w:sz w:val="24"/>
                <w:szCs w:val="24"/>
                <w:lang w:eastAsia="cs-CZ"/>
              </w:rPr>
            </w:pPr>
            <w:r>
              <w:t xml:space="preserve">Dotace se poskytují v souladu se zákonem č. 218/200 Sb., o rozpočtových pravidlech a o změně některých souvisejících zákonů (rozpočtová pravidla) a podle pravidla de  </w:t>
            </w:r>
            <w:proofErr w:type="spellStart"/>
            <w:r>
              <w:t>minimis</w:t>
            </w:r>
            <w:proofErr w:type="spellEnd"/>
            <w:r>
              <w:t xml:space="preserve">, podle nařízení Komise (EU) č. 1407/2013. Pravidlo de </w:t>
            </w:r>
            <w:proofErr w:type="spellStart"/>
            <w:r>
              <w:t>minimis</w:t>
            </w:r>
            <w:proofErr w:type="spellEnd"/>
            <w:r>
              <w:t xml:space="preserve"> znamená, že podpora vyplacená jednomu subjektu v průběhu 3 let nemůže přesáhnout částku 100 000 eur. </w:t>
            </w:r>
          </w:p>
        </w:tc>
      </w:tr>
      <w:tr w:rsidR="00AB4CD2" w:rsidRPr="00AB4CD2" w:rsidTr="003B02AE">
        <w:trPr>
          <w:trHeight w:val="315"/>
        </w:trPr>
        <w:tc>
          <w:tcPr>
            <w:tcW w:w="9796"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w:t>
            </w:r>
            <w:r w:rsidRPr="003B02AE">
              <w:rPr>
                <w:rFonts w:eastAsia="Times New Roman" w:cs="Times New Roman"/>
                <w:sz w:val="24"/>
                <w:szCs w:val="24"/>
                <w:lang w:eastAsia="cs-CZ"/>
              </w:rPr>
              <w:t xml:space="preserve"> Příjemce dotace je povinen výdaje na dotaci profinancovat nejpozději do 31. 12. 2016. Rozumí se tím zaplacení plateb hrazených z dotace v hotovosti a poukázáním plateb hrazených z dotace bezhotovostně. Příjemce je oprávněn hradit z dotace i ty náklady projektu, které vznikly v období, na které byla dotace poskytnuta, předtím, než obdržel rozhodnutí o poskytnutí dotace.</w:t>
            </w:r>
          </w:p>
        </w:tc>
      </w:tr>
      <w:tr w:rsidR="00AB4CD2" w:rsidRPr="00AB4CD2" w:rsidTr="003B02AE">
        <w:trPr>
          <w:trHeight w:val="315"/>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3</w:t>
            </w:r>
            <w:r w:rsidRPr="003B02AE">
              <w:rPr>
                <w:rFonts w:eastAsia="Times New Roman" w:cs="Times New Roman"/>
                <w:sz w:val="24"/>
                <w:szCs w:val="24"/>
                <w:lang w:eastAsia="cs-CZ"/>
              </w:rPr>
              <w:t>. Při používání prostředků z dotace je příjemce povinen postupovat v souladu se zákonem o zadávání veřejných zakázek v platném znění.</w:t>
            </w:r>
          </w:p>
        </w:tc>
      </w:tr>
      <w:tr w:rsidR="00AB4CD2" w:rsidRPr="00AB4CD2" w:rsidTr="003B02AE">
        <w:trPr>
          <w:trHeight w:val="690"/>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4.</w:t>
            </w:r>
            <w:r w:rsidRPr="003B02AE">
              <w:rPr>
                <w:rFonts w:eastAsia="Times New Roman" w:cs="Times New Roman"/>
                <w:sz w:val="24"/>
                <w:szCs w:val="24"/>
                <w:lang w:eastAsia="cs-CZ"/>
              </w:rPr>
              <w:t xml:space="preserve"> Prostředky z dotace lze použít jen na účel uvedený v Rozhodnutí. Prostředky nelze použít na úhradu investic, pohoštění a dary, výdaje spojené se zahraničními cestami zaměstnanců (pokud nejsou součástí projektu), běžné provozní výdaje žadatele nesouvisející s projektem, bankovní poplatky, vyškolení personálu, zpracování žádosti, účetní a právní služby, udělení věcných nebo finančních ohodnocení. </w:t>
            </w:r>
          </w:p>
        </w:tc>
      </w:tr>
      <w:tr w:rsidR="00AB4CD2" w:rsidRPr="00AB4CD2" w:rsidTr="003B02AE">
        <w:trPr>
          <w:trHeight w:val="1695"/>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5.</w:t>
            </w:r>
            <w:r w:rsidRPr="003B02AE">
              <w:rPr>
                <w:rFonts w:eastAsia="Times New Roman" w:cs="Times New Roman"/>
                <w:sz w:val="24"/>
                <w:szCs w:val="24"/>
                <w:lang w:eastAsia="cs-CZ"/>
              </w:rPr>
              <w:t xml:space="preserve"> Příjemce není oprávněn převádět prostředky z dotace na jiné fyzické nebo právnické osoby s výjimkou těch, které poskytují výkony a služby spojené s realizací projektu, a to podle schváleného rozpočtu dotace (nelze tedy převádět prostředky jinému subjektu na základě smlouvy o sdružení, smlouvy o realizaci akce nebo o </w:t>
            </w:r>
            <w:proofErr w:type="gramStart"/>
            <w:r w:rsidRPr="003B02AE">
              <w:rPr>
                <w:rFonts w:eastAsia="Times New Roman" w:cs="Times New Roman"/>
                <w:sz w:val="24"/>
                <w:szCs w:val="24"/>
                <w:lang w:eastAsia="cs-CZ"/>
              </w:rPr>
              <w:t>spolupořadatelství a pod.).</w:t>
            </w:r>
            <w:proofErr w:type="gramEnd"/>
            <w:r w:rsidRPr="003B02AE">
              <w:rPr>
                <w:rFonts w:eastAsia="Times New Roman" w:cs="Times New Roman"/>
                <w:sz w:val="24"/>
                <w:szCs w:val="24"/>
                <w:lang w:eastAsia="cs-CZ"/>
              </w:rPr>
              <w:t xml:space="preserve"> Prvotní účetní doklady musí projít účetnictvím příjemce dotace. </w:t>
            </w:r>
          </w:p>
        </w:tc>
      </w:tr>
      <w:tr w:rsidR="00AB4CD2" w:rsidRPr="00AB4CD2" w:rsidTr="003B02AE">
        <w:trPr>
          <w:trHeight w:val="727"/>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6.</w:t>
            </w:r>
            <w:r w:rsidRPr="003B02AE">
              <w:rPr>
                <w:rFonts w:eastAsia="Times New Roman" w:cs="Times New Roman"/>
                <w:sz w:val="24"/>
                <w:szCs w:val="24"/>
                <w:lang w:eastAsia="cs-CZ"/>
              </w:rPr>
              <w:t xml:space="preserve"> Příjemce dotace je před případným zánikem povinen přednostně vypořádat vztahy se státním rozpočtem.</w:t>
            </w:r>
          </w:p>
        </w:tc>
      </w:tr>
      <w:tr w:rsidR="00AB4CD2" w:rsidRPr="00AB4CD2" w:rsidTr="003B02AE">
        <w:trPr>
          <w:trHeight w:val="554"/>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7.</w:t>
            </w:r>
            <w:r w:rsidRPr="003B02AE">
              <w:rPr>
                <w:rFonts w:eastAsia="Times New Roman" w:cs="Times New Roman"/>
                <w:sz w:val="24"/>
                <w:szCs w:val="24"/>
                <w:lang w:eastAsia="cs-CZ"/>
              </w:rPr>
              <w:t xml:space="preserve"> Příjemce je povinen zrealizovat projekt v rozsahu a kvalitě podle předložené žádosti o dotaci.</w:t>
            </w:r>
          </w:p>
        </w:tc>
      </w:tr>
      <w:tr w:rsidR="00AB4CD2" w:rsidRPr="00AB4CD2" w:rsidTr="003B02AE">
        <w:trPr>
          <w:trHeight w:val="315"/>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8.</w:t>
            </w:r>
            <w:r w:rsidRPr="003B02AE">
              <w:rPr>
                <w:rFonts w:eastAsia="Times New Roman" w:cs="Times New Roman"/>
                <w:sz w:val="24"/>
                <w:szCs w:val="24"/>
                <w:lang w:eastAsia="cs-CZ"/>
              </w:rPr>
              <w:t xml:space="preserve"> Příjemce je povinen uvádět po obdržení tohoto rozhodnutí</w:t>
            </w:r>
            <w:r w:rsidRPr="003B02AE">
              <w:rPr>
                <w:rFonts w:eastAsia="Times New Roman" w:cs="Times New Roman"/>
                <w:color w:val="FF0000"/>
                <w:sz w:val="24"/>
                <w:szCs w:val="24"/>
                <w:lang w:eastAsia="cs-CZ"/>
              </w:rPr>
              <w:t xml:space="preserve"> </w:t>
            </w:r>
            <w:r w:rsidRPr="003B02AE">
              <w:rPr>
                <w:rFonts w:eastAsia="Times New Roman" w:cs="Times New Roman"/>
                <w:sz w:val="24"/>
                <w:szCs w:val="24"/>
                <w:lang w:eastAsia="cs-CZ"/>
              </w:rPr>
              <w:t>ve všech propagačních materiálech souvisejících s projektem, že se projekt uskutečňuje za finanční podpory Ministerstva kultury.</w:t>
            </w:r>
          </w:p>
        </w:tc>
      </w:tr>
      <w:tr w:rsidR="00AB4CD2" w:rsidRPr="00AB4CD2" w:rsidTr="003B02AE">
        <w:trPr>
          <w:trHeight w:val="690"/>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9.</w:t>
            </w:r>
            <w:r w:rsidRPr="003B02AE">
              <w:rPr>
                <w:rFonts w:eastAsia="Times New Roman" w:cs="Times New Roman"/>
                <w:sz w:val="24"/>
                <w:szCs w:val="24"/>
                <w:lang w:eastAsia="cs-CZ"/>
              </w:rPr>
              <w:t xml:space="preserve"> Pokud se sníží celkový rozpočet projektu, je příjemce povinen zachovat procentuální podíl původně požadované dotace na původně deklarovaném rozpočtu.</w:t>
            </w:r>
          </w:p>
        </w:tc>
      </w:tr>
      <w:tr w:rsidR="00AB4CD2" w:rsidRPr="00AB4CD2" w:rsidTr="003B02AE">
        <w:trPr>
          <w:trHeight w:val="690"/>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5A231D">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10.</w:t>
            </w:r>
            <w:r w:rsidRPr="003B02AE">
              <w:rPr>
                <w:rFonts w:eastAsia="Times New Roman" w:cs="Times New Roman"/>
                <w:sz w:val="24"/>
                <w:szCs w:val="24"/>
                <w:lang w:eastAsia="cs-CZ"/>
              </w:rPr>
              <w:t xml:space="preserve"> Příjemce dotace je povinen prostředky ze státního rozpočtu používat hospodárně, efektivně a účelně – viz § 2 písm. m), n) a o) zákona č. 320/2001 Sb.  </w:t>
            </w:r>
            <w:bookmarkStart w:id="0" w:name="_GoBack"/>
            <w:bookmarkEnd w:id="0"/>
          </w:p>
        </w:tc>
      </w:tr>
      <w:tr w:rsidR="00AB4CD2" w:rsidRPr="00AB4CD2" w:rsidTr="003B02AE">
        <w:trPr>
          <w:trHeight w:val="743"/>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11.</w:t>
            </w:r>
            <w:r w:rsidRPr="003B02AE">
              <w:rPr>
                <w:rFonts w:eastAsia="Times New Roman" w:cs="Times New Roman"/>
                <w:sz w:val="24"/>
                <w:szCs w:val="24"/>
                <w:lang w:eastAsia="cs-CZ"/>
              </w:rPr>
              <w:t xml:space="preserve"> Pokud je projekt financován dotacemi z různých státních zdrojů, nesmí souběh těchto zdrojů činit více než 70% nákladů projektu.</w:t>
            </w:r>
          </w:p>
        </w:tc>
      </w:tr>
      <w:tr w:rsidR="00AB4CD2" w:rsidRPr="00AB4CD2" w:rsidTr="003B02AE">
        <w:trPr>
          <w:trHeight w:val="690"/>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12.</w:t>
            </w:r>
            <w:r w:rsidRPr="003B02AE">
              <w:rPr>
                <w:rFonts w:eastAsia="Times New Roman" w:cs="Times New Roman"/>
                <w:sz w:val="24"/>
                <w:szCs w:val="24"/>
                <w:lang w:eastAsia="cs-CZ"/>
              </w:rPr>
              <w:t xml:space="preserve"> Příjemce dotace je povinen </w:t>
            </w:r>
            <w:proofErr w:type="gramStart"/>
            <w:r w:rsidRPr="003B02AE">
              <w:rPr>
                <w:rFonts w:eastAsia="Times New Roman" w:cs="Times New Roman"/>
                <w:sz w:val="24"/>
                <w:szCs w:val="24"/>
                <w:lang w:eastAsia="cs-CZ"/>
              </w:rPr>
              <w:t xml:space="preserve">předložit </w:t>
            </w:r>
            <w:r w:rsidR="003B02AE">
              <w:t xml:space="preserve"> Samostatnému</w:t>
            </w:r>
            <w:proofErr w:type="gramEnd"/>
            <w:r w:rsidR="003B02AE">
              <w:t xml:space="preserve"> oddělení Evropské unie</w:t>
            </w:r>
            <w:r w:rsidR="003B02AE" w:rsidRPr="003B02AE">
              <w:rPr>
                <w:rFonts w:eastAsia="Times New Roman" w:cs="Times New Roman"/>
                <w:sz w:val="24"/>
                <w:szCs w:val="24"/>
                <w:lang w:eastAsia="cs-CZ"/>
              </w:rPr>
              <w:t xml:space="preserve"> </w:t>
            </w:r>
            <w:r w:rsidRPr="003B02AE">
              <w:rPr>
                <w:rFonts w:eastAsia="Times New Roman" w:cs="Times New Roman"/>
                <w:sz w:val="24"/>
                <w:szCs w:val="24"/>
                <w:lang w:eastAsia="cs-CZ"/>
              </w:rPr>
              <w:t>současně s vyúčtováním písemnou závěrečnou zprávu o realizaci a výsledcích projektu.</w:t>
            </w:r>
          </w:p>
        </w:tc>
      </w:tr>
      <w:tr w:rsidR="00AB4CD2" w:rsidRPr="00AB4CD2" w:rsidTr="003B02AE">
        <w:trPr>
          <w:trHeight w:val="690"/>
        </w:trPr>
        <w:tc>
          <w:tcPr>
            <w:tcW w:w="9796" w:type="dxa"/>
            <w:gridSpan w:val="6"/>
            <w:tcBorders>
              <w:top w:val="single" w:sz="4" w:space="0" w:color="auto"/>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lastRenderedPageBreak/>
              <w:t>13.</w:t>
            </w:r>
            <w:r w:rsidRPr="003B02AE">
              <w:rPr>
                <w:rFonts w:eastAsia="Times New Roman" w:cs="Times New Roman"/>
                <w:sz w:val="24"/>
                <w:szCs w:val="24"/>
                <w:lang w:eastAsia="cs-CZ"/>
              </w:rPr>
              <w:t xml:space="preserve"> Příjemce dotace je povinen vyhotovit vyúčtování (příslušný formulář je ke stažení na webových stránkách MK v rubrice  SOEU – Granty a dotace) a zaslat jej Ministerstvu kultury:</w:t>
            </w:r>
          </w:p>
        </w:tc>
      </w:tr>
      <w:tr w:rsidR="00AB4CD2" w:rsidRPr="00AB4CD2" w:rsidTr="003B02AE">
        <w:trPr>
          <w:trHeight w:val="690"/>
        </w:trPr>
        <w:tc>
          <w:tcPr>
            <w:tcW w:w="9796" w:type="dxa"/>
            <w:gridSpan w:val="6"/>
            <w:tcBorders>
              <w:top w:val="nil"/>
              <w:left w:val="single" w:sz="4" w:space="0" w:color="auto"/>
              <w:bottom w:val="nil"/>
              <w:right w:val="single" w:sz="4"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 xml:space="preserve">do </w:t>
            </w:r>
            <w:proofErr w:type="gramStart"/>
            <w:r w:rsidRPr="003B02AE">
              <w:rPr>
                <w:rFonts w:eastAsia="Times New Roman" w:cs="Times New Roman"/>
                <w:bCs/>
                <w:sz w:val="24"/>
                <w:szCs w:val="24"/>
                <w:lang w:eastAsia="cs-CZ"/>
              </w:rPr>
              <w:t>15.2. 2017</w:t>
            </w:r>
            <w:proofErr w:type="gramEnd"/>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 </w:t>
            </w:r>
          </w:p>
        </w:tc>
      </w:tr>
      <w:tr w:rsidR="00AB4CD2" w:rsidRPr="00AB4CD2" w:rsidTr="003B02AE">
        <w:trPr>
          <w:trHeight w:val="987"/>
        </w:trPr>
        <w:tc>
          <w:tcPr>
            <w:tcW w:w="9796" w:type="dxa"/>
            <w:gridSpan w:val="6"/>
            <w:tcBorders>
              <w:top w:val="nil"/>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r w:rsidRPr="003B02AE">
              <w:rPr>
                <w:rFonts w:eastAsia="Times New Roman" w:cs="Times New Roman"/>
                <w:sz w:val="24"/>
                <w:szCs w:val="24"/>
                <w:lang w:eastAsia="cs-CZ"/>
              </w:rPr>
              <w:t>Rozhodující je razítko pošty, při osobním doručení razítko podatelny Ministerstva kultury. Vyúčtování dotace bude obsahovat vyčíslení všech skutečných nákladů s rozpisem na jednotlivé nákladové položky a s vyznačením položek hrazených z dotace a dále skutečně dosažené příjmy. K vyúčtování budou přiloženy fotokopie účetních dokladů dosvědčujících použití dotace. Doklady musí splňovat náležitosti podle zákona o účetnictví.</w:t>
            </w:r>
          </w:p>
        </w:tc>
      </w:tr>
      <w:tr w:rsidR="00AB4CD2" w:rsidRPr="00AB4CD2" w:rsidTr="003B02AE">
        <w:trPr>
          <w:trHeight w:val="1275"/>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14.</w:t>
            </w:r>
            <w:r w:rsidRPr="003B02AE">
              <w:rPr>
                <w:rFonts w:eastAsia="Times New Roman" w:cs="Times New Roman"/>
                <w:sz w:val="24"/>
                <w:szCs w:val="24"/>
                <w:lang w:eastAsia="cs-CZ"/>
              </w:rPr>
              <w:t xml:space="preserve"> Příjemce dotace je povinen vrátit nevyčerpané prostředky dotace do 30 dnů od oznámení o odstoupení od projektu nebo jeho zrušení. Pokud vrací dotaci nebo její část během roku 2016, je povinen ji zaslat na výdajový účet MK, ze kterého mu byla dotace uvolněna (organizace zřízené obcí či krajem prostřednictvím krajského úřadu).</w:t>
            </w:r>
          </w:p>
        </w:tc>
      </w:tr>
      <w:tr w:rsidR="00AB4CD2" w:rsidRPr="00AB4CD2" w:rsidTr="003B02AE">
        <w:trPr>
          <w:trHeight w:val="840"/>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15.</w:t>
            </w:r>
            <w:r w:rsidRPr="003B02AE">
              <w:rPr>
                <w:rFonts w:eastAsia="Times New Roman" w:cs="Times New Roman"/>
                <w:sz w:val="24"/>
                <w:szCs w:val="24"/>
                <w:lang w:eastAsia="cs-CZ"/>
              </w:rPr>
              <w:t xml:space="preserve"> Vrací-li příjemce nevyužité prostředky po 31. 12. 2016, zašle je na účet č.: 6015-3424001/0</w:t>
            </w:r>
            <w:r w:rsidR="003B02AE">
              <w:rPr>
                <w:rFonts w:eastAsia="Times New Roman" w:cs="Times New Roman"/>
                <w:sz w:val="24"/>
                <w:szCs w:val="24"/>
                <w:lang w:eastAsia="cs-CZ"/>
              </w:rPr>
              <w:t>710 nejpozději do 15. února 2017</w:t>
            </w:r>
            <w:r w:rsidRPr="003B02AE">
              <w:rPr>
                <w:rFonts w:eastAsia="Times New Roman" w:cs="Times New Roman"/>
                <w:sz w:val="24"/>
                <w:szCs w:val="24"/>
                <w:lang w:eastAsia="cs-CZ"/>
              </w:rPr>
              <w:t>.</w:t>
            </w:r>
          </w:p>
        </w:tc>
      </w:tr>
      <w:tr w:rsidR="00AB4CD2" w:rsidRPr="00AB4CD2" w:rsidTr="003B02AE">
        <w:trPr>
          <w:trHeight w:val="690"/>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16.</w:t>
            </w:r>
            <w:r w:rsidRPr="003B02AE">
              <w:rPr>
                <w:rFonts w:eastAsia="Times New Roman" w:cs="Times New Roman"/>
                <w:sz w:val="24"/>
                <w:szCs w:val="24"/>
                <w:lang w:eastAsia="cs-CZ"/>
              </w:rPr>
              <w:t xml:space="preserve"> Příjemce dotace je povinen vyhotovit a Minist</w:t>
            </w:r>
            <w:r w:rsidR="003B02AE">
              <w:rPr>
                <w:rFonts w:eastAsia="Times New Roman" w:cs="Times New Roman"/>
                <w:sz w:val="24"/>
                <w:szCs w:val="24"/>
                <w:lang w:eastAsia="cs-CZ"/>
              </w:rPr>
              <w:t>erstvu kultury do 15. února 2017</w:t>
            </w:r>
            <w:r w:rsidRPr="003B02AE">
              <w:rPr>
                <w:rFonts w:eastAsia="Times New Roman" w:cs="Times New Roman"/>
                <w:sz w:val="24"/>
                <w:szCs w:val="24"/>
                <w:lang w:eastAsia="cs-CZ"/>
              </w:rPr>
              <w:t xml:space="preserve"> zaslat podklady pro finanční vypořádání vztahů se státním rozpočtem podle Vyhlášky Ministerstva financí č.52/2008 Sb., kterou se stanoví zásady a termíny vypořádání vztahů se státním rozpočtem.</w:t>
            </w:r>
          </w:p>
        </w:tc>
      </w:tr>
      <w:tr w:rsidR="00AB4CD2" w:rsidRPr="00AB4CD2" w:rsidTr="003B02AE">
        <w:trPr>
          <w:trHeight w:val="975"/>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17.</w:t>
            </w:r>
            <w:r w:rsidRPr="003B02AE">
              <w:rPr>
                <w:rFonts w:eastAsia="Times New Roman" w:cs="Times New Roman"/>
                <w:sz w:val="24"/>
                <w:szCs w:val="24"/>
                <w:lang w:eastAsia="cs-CZ"/>
              </w:rPr>
              <w:t xml:space="preserve"> Ministerstvo kultury je oprávněno provádět u příjemce dotace kontrolu finančního hospodaření a dalších skutečností potřebných pro posouzení, zda jsou dodržovány podmínky stanovené tímto Rozhodnutím. Příjemce je povinen umožnit Ministerstvu kultury provedení této kontroly a poskytnout mu k tomu nezbytnou součinnost.</w:t>
            </w:r>
          </w:p>
        </w:tc>
      </w:tr>
      <w:tr w:rsidR="00AB4CD2" w:rsidRPr="00AB4CD2" w:rsidTr="003B02AE">
        <w:trPr>
          <w:trHeight w:val="865"/>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18.</w:t>
            </w:r>
            <w:r w:rsidRPr="003B02AE">
              <w:rPr>
                <w:rFonts w:eastAsia="Times New Roman" w:cs="Times New Roman"/>
                <w:sz w:val="24"/>
                <w:szCs w:val="24"/>
                <w:lang w:eastAsia="cs-CZ"/>
              </w:rPr>
              <w:t xml:space="preserve"> Řízení o odnětí dotace může být zahájeno podle § 15 zákona č.218/2000 Sb., o rozpočtových pravidlech, pokud po vydání tohoto rozhodnutí nastanou skutečnosti uvedené v § 15 odst. 1 zákona č. 218/2000 Sb. (například dojde k vázání prostředků státního rozpočtu nebo Ministerstvo kultury zjistí, že údaje, na jejichž základě byla dotace poskytnuta, byly neúplné nebo nepravdivé).</w:t>
            </w:r>
          </w:p>
        </w:tc>
      </w:tr>
      <w:tr w:rsidR="00AB4CD2" w:rsidRPr="00AB4CD2" w:rsidTr="003B02AE">
        <w:trPr>
          <w:trHeight w:val="597"/>
        </w:trPr>
        <w:tc>
          <w:tcPr>
            <w:tcW w:w="9796"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 xml:space="preserve">19. </w:t>
            </w:r>
            <w:r w:rsidRPr="003B02AE">
              <w:rPr>
                <w:rFonts w:eastAsia="Times New Roman" w:cs="Times New Roman"/>
                <w:sz w:val="24"/>
                <w:szCs w:val="24"/>
                <w:lang w:eastAsia="cs-CZ"/>
              </w:rPr>
              <w:t>Příjemce dotace je povinen do 14 dnů písemně oznámit změnu všech identifikačních údajů uvedených v předložené žádosti v průběhu období, na které byla dotace poskytnuta.</w:t>
            </w:r>
          </w:p>
        </w:tc>
      </w:tr>
      <w:tr w:rsidR="00AB4CD2" w:rsidRPr="00AB4CD2" w:rsidTr="003B02AE">
        <w:trPr>
          <w:trHeight w:val="67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21.</w:t>
            </w:r>
            <w:r w:rsidRPr="003B02AE">
              <w:rPr>
                <w:rFonts w:eastAsia="Times New Roman" w:cs="Times New Roman"/>
                <w:sz w:val="24"/>
                <w:szCs w:val="24"/>
                <w:lang w:eastAsia="cs-CZ"/>
              </w:rPr>
              <w:t xml:space="preserve"> V případě, že příjemce dotace poruší uvedené podmínky, nebude mu poskytnuta případná dotace v následujícím rozpočtovém roce. Možnost uplatnění sankcí podle § 44a odst. 4 zákona č. 218/2000 Sb., o rozpočtových pravidlech tím není dotčena. Za méně závažné porušení povinností příjemce dotace (bez možnosti poskytnutí dotace v následujícím roce, bez uplatnění sankcí dle paragrafu § 44a odst. 4 zákona č. 218/2000 Sb.) se ve smyslu § 14 odst. 6 zákona č. 218/2000 Sb. považuje:</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proofErr w:type="gramStart"/>
            <w:r w:rsidRPr="003B02AE">
              <w:rPr>
                <w:rFonts w:eastAsia="Times New Roman" w:cs="Times New Roman"/>
                <w:bCs/>
                <w:sz w:val="24"/>
                <w:szCs w:val="24"/>
                <w:lang w:eastAsia="cs-CZ"/>
              </w:rPr>
              <w:t xml:space="preserve">a)      </w:t>
            </w:r>
            <w:r w:rsidRPr="003B02AE">
              <w:rPr>
                <w:rFonts w:eastAsia="Times New Roman" w:cs="Times New Roman"/>
                <w:sz w:val="24"/>
                <w:szCs w:val="24"/>
                <w:lang w:eastAsia="cs-CZ"/>
              </w:rPr>
              <w:t>porušení</w:t>
            </w:r>
            <w:proofErr w:type="gramEnd"/>
            <w:r w:rsidRPr="003B02AE">
              <w:rPr>
                <w:rFonts w:eastAsia="Times New Roman" w:cs="Times New Roman"/>
                <w:sz w:val="24"/>
                <w:szCs w:val="24"/>
                <w:lang w:eastAsia="cs-CZ"/>
              </w:rPr>
              <w:t xml:space="preserve"> povinnosti příjemce uvádět na všech materiálech vytvořených v rámci projektu   </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 xml:space="preserve">       </w:t>
            </w:r>
            <w:r w:rsidRPr="003B02AE">
              <w:rPr>
                <w:rFonts w:eastAsia="Times New Roman" w:cs="Times New Roman"/>
                <w:sz w:val="24"/>
                <w:szCs w:val="24"/>
                <w:lang w:eastAsia="cs-CZ"/>
              </w:rPr>
              <w:t xml:space="preserve">  nebo souvisejících s jeho realizací, že se projekt uskutečňuje za finanční podpory  </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r w:rsidRPr="003B02AE">
              <w:rPr>
                <w:rFonts w:eastAsia="Times New Roman" w:cs="Times New Roman"/>
                <w:sz w:val="24"/>
                <w:szCs w:val="24"/>
                <w:lang w:eastAsia="cs-CZ"/>
              </w:rPr>
              <w:t xml:space="preserve">         Ministerstva kultury,</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proofErr w:type="gramStart"/>
            <w:r w:rsidRPr="003B02AE">
              <w:rPr>
                <w:rFonts w:eastAsia="Times New Roman" w:cs="Times New Roman"/>
                <w:bCs/>
                <w:sz w:val="24"/>
                <w:szCs w:val="24"/>
                <w:lang w:eastAsia="cs-CZ"/>
              </w:rPr>
              <w:t xml:space="preserve">b)      </w:t>
            </w:r>
            <w:r w:rsidRPr="003B02AE">
              <w:rPr>
                <w:rFonts w:eastAsia="Times New Roman" w:cs="Times New Roman"/>
                <w:sz w:val="24"/>
                <w:szCs w:val="24"/>
                <w:lang w:eastAsia="cs-CZ"/>
              </w:rPr>
              <w:t>nedodržení</w:t>
            </w:r>
            <w:proofErr w:type="gramEnd"/>
            <w:r w:rsidRPr="003B02AE">
              <w:rPr>
                <w:rFonts w:eastAsia="Times New Roman" w:cs="Times New Roman"/>
                <w:sz w:val="24"/>
                <w:szCs w:val="24"/>
                <w:lang w:eastAsia="cs-CZ"/>
              </w:rPr>
              <w:t xml:space="preserve"> lhůt pro zaslání závěrečné zprávy,</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proofErr w:type="gramStart"/>
            <w:r w:rsidRPr="003B02AE">
              <w:rPr>
                <w:rFonts w:eastAsia="Times New Roman" w:cs="Times New Roman"/>
                <w:bCs/>
                <w:sz w:val="24"/>
                <w:szCs w:val="24"/>
                <w:lang w:eastAsia="cs-CZ"/>
              </w:rPr>
              <w:t xml:space="preserve">c)      </w:t>
            </w:r>
            <w:r w:rsidRPr="003B02AE">
              <w:rPr>
                <w:rFonts w:eastAsia="Times New Roman" w:cs="Times New Roman"/>
                <w:sz w:val="24"/>
                <w:szCs w:val="24"/>
                <w:lang w:eastAsia="cs-CZ"/>
              </w:rPr>
              <w:t>nedodržení</w:t>
            </w:r>
            <w:proofErr w:type="gramEnd"/>
            <w:r w:rsidRPr="003B02AE">
              <w:rPr>
                <w:rFonts w:eastAsia="Times New Roman" w:cs="Times New Roman"/>
                <w:sz w:val="24"/>
                <w:szCs w:val="24"/>
                <w:lang w:eastAsia="cs-CZ"/>
              </w:rPr>
              <w:t xml:space="preserve"> lhůt pro předložení vyúčtování,</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proofErr w:type="gramStart"/>
            <w:r w:rsidRPr="003B02AE">
              <w:rPr>
                <w:rFonts w:eastAsia="Times New Roman" w:cs="Times New Roman"/>
                <w:bCs/>
                <w:sz w:val="24"/>
                <w:szCs w:val="24"/>
                <w:lang w:eastAsia="cs-CZ"/>
              </w:rPr>
              <w:t xml:space="preserve">d)      </w:t>
            </w:r>
            <w:r w:rsidRPr="003B02AE">
              <w:rPr>
                <w:rFonts w:eastAsia="Times New Roman" w:cs="Times New Roman"/>
                <w:sz w:val="24"/>
                <w:szCs w:val="24"/>
                <w:lang w:eastAsia="cs-CZ"/>
              </w:rPr>
              <w:t>nedodržení</w:t>
            </w:r>
            <w:proofErr w:type="gramEnd"/>
            <w:r w:rsidRPr="003B02AE">
              <w:rPr>
                <w:rFonts w:eastAsia="Times New Roman" w:cs="Times New Roman"/>
                <w:sz w:val="24"/>
                <w:szCs w:val="24"/>
                <w:lang w:eastAsia="cs-CZ"/>
              </w:rPr>
              <w:t xml:space="preserve"> lhůt pro oznámení změn identifikačních údajů příjemce,</w:t>
            </w:r>
          </w:p>
        </w:tc>
      </w:tr>
      <w:tr w:rsidR="00AB4CD2" w:rsidRPr="00AB4CD2" w:rsidTr="003B02AE">
        <w:trPr>
          <w:trHeight w:val="315"/>
        </w:trPr>
        <w:tc>
          <w:tcPr>
            <w:tcW w:w="9796" w:type="dxa"/>
            <w:gridSpan w:val="6"/>
            <w:tcBorders>
              <w:top w:val="nil"/>
              <w:left w:val="single" w:sz="8" w:space="0" w:color="auto"/>
              <w:bottom w:val="single" w:sz="4" w:space="0" w:color="auto"/>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proofErr w:type="gramStart"/>
            <w:r w:rsidRPr="003B02AE">
              <w:rPr>
                <w:rFonts w:eastAsia="Times New Roman" w:cs="Times New Roman"/>
                <w:bCs/>
                <w:sz w:val="24"/>
                <w:szCs w:val="24"/>
                <w:lang w:eastAsia="cs-CZ"/>
              </w:rPr>
              <w:t xml:space="preserve">e)      </w:t>
            </w:r>
            <w:r w:rsidRPr="003B02AE">
              <w:rPr>
                <w:rFonts w:eastAsia="Times New Roman" w:cs="Times New Roman"/>
                <w:sz w:val="24"/>
                <w:szCs w:val="24"/>
                <w:lang w:eastAsia="cs-CZ"/>
              </w:rPr>
              <w:t>nedodržení</w:t>
            </w:r>
            <w:proofErr w:type="gramEnd"/>
            <w:r w:rsidRPr="003B02AE">
              <w:rPr>
                <w:rFonts w:eastAsia="Times New Roman" w:cs="Times New Roman"/>
                <w:sz w:val="24"/>
                <w:szCs w:val="24"/>
                <w:lang w:eastAsia="cs-CZ"/>
              </w:rPr>
              <w:t xml:space="preserve"> struktury rozpisu dotace.</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bCs/>
                <w:sz w:val="24"/>
                <w:szCs w:val="24"/>
                <w:lang w:eastAsia="cs-CZ"/>
              </w:rPr>
            </w:pPr>
            <w:r w:rsidRPr="003B02AE">
              <w:rPr>
                <w:rFonts w:eastAsia="Times New Roman" w:cs="Times New Roman"/>
                <w:bCs/>
                <w:sz w:val="24"/>
                <w:szCs w:val="24"/>
                <w:lang w:eastAsia="cs-CZ"/>
              </w:rPr>
              <w:t xml:space="preserve"> </w:t>
            </w:r>
          </w:p>
        </w:tc>
      </w:tr>
      <w:tr w:rsidR="00AB4CD2" w:rsidRPr="00AB4CD2" w:rsidTr="003B02AE">
        <w:trPr>
          <w:trHeight w:val="315"/>
        </w:trPr>
        <w:tc>
          <w:tcPr>
            <w:tcW w:w="9796" w:type="dxa"/>
            <w:gridSpan w:val="6"/>
            <w:tcBorders>
              <w:top w:val="nil"/>
              <w:left w:val="single" w:sz="8" w:space="0" w:color="auto"/>
              <w:bottom w:val="nil"/>
              <w:right w:val="single" w:sz="8" w:space="0" w:color="000000"/>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r w:rsidRPr="003B02AE">
              <w:rPr>
                <w:rFonts w:eastAsia="Times New Roman" w:cs="Times New Roman"/>
                <w:sz w:val="24"/>
                <w:szCs w:val="24"/>
                <w:lang w:eastAsia="cs-CZ"/>
              </w:rPr>
              <w:t xml:space="preserve">Ministerstvo kultury upozorňuje na povinnosti podle zákona č. 563/1991 Sb., o účetnictví, v platném znění, především na povinnost vést účetnictví v plném rozsahu (podvojné účetnictví). Tuto povinnost nemají zejména spolky a jejich organizační jednotky, které mají právní subjektivitu </w:t>
            </w:r>
            <w:r w:rsidRPr="003B02AE">
              <w:rPr>
                <w:rFonts w:eastAsia="Times New Roman" w:cs="Times New Roman"/>
                <w:sz w:val="24"/>
                <w:szCs w:val="24"/>
                <w:lang w:eastAsia="cs-CZ"/>
              </w:rPr>
              <w:lastRenderedPageBreak/>
              <w:t>(ve smyslu nového občanského zákoníku – č. 89/2012 Sb.), pokud jejich celkové příjmy za poslední uzavřené účetní období nepřesáhly 3 mil. Kč.</w:t>
            </w:r>
          </w:p>
        </w:tc>
      </w:tr>
      <w:tr w:rsidR="00AB4CD2" w:rsidRPr="00AB4CD2" w:rsidTr="003B02AE">
        <w:trPr>
          <w:trHeight w:val="152"/>
        </w:trPr>
        <w:tc>
          <w:tcPr>
            <w:tcW w:w="6156" w:type="dxa"/>
            <w:tcBorders>
              <w:top w:val="nil"/>
              <w:left w:val="single" w:sz="8" w:space="0" w:color="auto"/>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1016" w:type="dxa"/>
            <w:tcBorders>
              <w:top w:val="nil"/>
              <w:left w:val="nil"/>
              <w:bottom w:val="nil"/>
              <w:right w:val="single" w:sz="8" w:space="0" w:color="auto"/>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r w:rsidRPr="003B02AE">
              <w:rPr>
                <w:rFonts w:eastAsia="Times New Roman" w:cs="Times New Roman"/>
                <w:sz w:val="24"/>
                <w:szCs w:val="24"/>
                <w:lang w:eastAsia="cs-CZ"/>
              </w:rPr>
              <w:t> </w:t>
            </w:r>
          </w:p>
        </w:tc>
      </w:tr>
      <w:tr w:rsidR="00AB4CD2" w:rsidRPr="00AB4CD2" w:rsidTr="003B02AE">
        <w:trPr>
          <w:trHeight w:val="80"/>
        </w:trPr>
        <w:tc>
          <w:tcPr>
            <w:tcW w:w="6156" w:type="dxa"/>
            <w:tcBorders>
              <w:top w:val="nil"/>
              <w:left w:val="single" w:sz="8" w:space="0" w:color="auto"/>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r w:rsidRPr="003B02AE">
              <w:rPr>
                <w:rFonts w:eastAsia="Times New Roman" w:cs="Times New Roman"/>
                <w:sz w:val="24"/>
                <w:szCs w:val="24"/>
                <w:lang w:eastAsia="cs-CZ"/>
              </w:rPr>
              <w:t>Poučení:</w:t>
            </w: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656" w:type="dxa"/>
            <w:tcBorders>
              <w:top w:val="nil"/>
              <w:left w:val="nil"/>
              <w:bottom w:val="nil"/>
              <w:right w:val="nil"/>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p>
        </w:tc>
        <w:tc>
          <w:tcPr>
            <w:tcW w:w="1016" w:type="dxa"/>
            <w:tcBorders>
              <w:top w:val="nil"/>
              <w:left w:val="nil"/>
              <w:bottom w:val="nil"/>
              <w:right w:val="single" w:sz="8" w:space="0" w:color="auto"/>
            </w:tcBorders>
            <w:shd w:val="clear" w:color="auto" w:fill="auto"/>
            <w:noWrap/>
            <w:vAlign w:val="bottom"/>
            <w:hideMark/>
          </w:tcPr>
          <w:p w:rsidR="00AB4CD2" w:rsidRPr="003B02AE" w:rsidRDefault="00AB4CD2" w:rsidP="003B02AE">
            <w:pPr>
              <w:spacing w:line="240" w:lineRule="auto"/>
              <w:jc w:val="both"/>
              <w:rPr>
                <w:rFonts w:eastAsia="Times New Roman" w:cs="Times New Roman"/>
                <w:sz w:val="24"/>
                <w:szCs w:val="24"/>
                <w:lang w:eastAsia="cs-CZ"/>
              </w:rPr>
            </w:pPr>
            <w:r w:rsidRPr="003B02AE">
              <w:rPr>
                <w:rFonts w:eastAsia="Times New Roman" w:cs="Times New Roman"/>
                <w:sz w:val="24"/>
                <w:szCs w:val="24"/>
                <w:lang w:eastAsia="cs-CZ"/>
              </w:rPr>
              <w:t> </w:t>
            </w:r>
          </w:p>
        </w:tc>
      </w:tr>
    </w:tbl>
    <w:p w:rsidR="00AB4CD2" w:rsidRDefault="00AB4CD2"/>
    <w:p w:rsidR="000F3551" w:rsidRDefault="00AB4CD2">
      <w:r w:rsidRPr="00AB4CD2">
        <w:t>Proti tomuto rozhodnutí není podle § 14 odst. 5 zákona č. 218/2000 Sb., o rozpočtových pravidlech a o změně některých souvisejících zákonů (rozpočtová pravidla), v platném znění, přípustný opravný prostředek a je vyloučeno jeho soudní přezkoumání. Toto rozhodnutí nabývá právní moci dnem jeho doručení příjemci.</w:t>
      </w:r>
    </w:p>
    <w:sectPr w:rsidR="000F3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5369"/>
    <w:multiLevelType w:val="hybridMultilevel"/>
    <w:tmpl w:val="487C1A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D2"/>
    <w:rsid w:val="00005D5A"/>
    <w:rsid w:val="000F3551"/>
    <w:rsid w:val="003B02AE"/>
    <w:rsid w:val="005A231D"/>
    <w:rsid w:val="007F0291"/>
    <w:rsid w:val="00AB4CD2"/>
    <w:rsid w:val="00E07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291"/>
    <w:pPr>
      <w:spacing w:after="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291"/>
    <w:pPr>
      <w:spacing w:after="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8B9A-C074-4804-99BA-D82E6E8F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1061</Words>
  <Characters>6265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Administrator</cp:lastModifiedBy>
  <cp:revision>3</cp:revision>
  <dcterms:created xsi:type="dcterms:W3CDTF">2016-01-08T08:41:00Z</dcterms:created>
  <dcterms:modified xsi:type="dcterms:W3CDTF">2016-01-08T12:06:00Z</dcterms:modified>
</cp:coreProperties>
</file>