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2121"/>
        <w:tblW w:w="9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6"/>
        <w:gridCol w:w="656"/>
        <w:gridCol w:w="656"/>
        <w:gridCol w:w="656"/>
        <w:gridCol w:w="656"/>
        <w:gridCol w:w="1016"/>
      </w:tblGrid>
      <w:tr w:rsidR="00AB4CD2" w:rsidRPr="00AB4CD2" w:rsidTr="003B02AE">
        <w:trPr>
          <w:trHeight w:val="285"/>
        </w:trPr>
        <w:tc>
          <w:tcPr>
            <w:tcW w:w="97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4CD2" w:rsidRDefault="00AB4CD2" w:rsidP="003B02AE">
            <w:pPr>
              <w:spacing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</w:p>
          <w:p w:rsidR="003B02AE" w:rsidRDefault="003B02AE" w:rsidP="003B02AE">
            <w:pPr>
              <w:spacing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</w:p>
          <w:p w:rsidR="003B02AE" w:rsidRDefault="003B02AE" w:rsidP="003B02AE">
            <w:pPr>
              <w:spacing w:line="240" w:lineRule="auto"/>
              <w:jc w:val="both"/>
              <w:rPr>
                <w:b/>
              </w:rPr>
            </w:pPr>
            <w:r w:rsidRPr="003B02AE">
              <w:rPr>
                <w:b/>
              </w:rPr>
              <w:t xml:space="preserve">Dotace SOEU je určena </w:t>
            </w:r>
            <w:proofErr w:type="gramStart"/>
            <w:r w:rsidRPr="003B02AE">
              <w:rPr>
                <w:b/>
              </w:rPr>
              <w:t>na  projekty</w:t>
            </w:r>
            <w:proofErr w:type="gramEnd"/>
            <w:r w:rsidRPr="003B02AE">
              <w:rPr>
                <w:b/>
              </w:rPr>
              <w:t xml:space="preserve"> podporované z programu EU Kultura a navazujícího programu Kreativní Evropa</w:t>
            </w:r>
            <w:r>
              <w:rPr>
                <w:b/>
              </w:rPr>
              <w:t>.</w:t>
            </w:r>
          </w:p>
          <w:p w:rsidR="003B02AE" w:rsidRDefault="003B02AE" w:rsidP="003B02AE">
            <w:pPr>
              <w:spacing w:line="240" w:lineRule="auto"/>
              <w:jc w:val="both"/>
              <w:rPr>
                <w:b/>
              </w:rPr>
            </w:pPr>
          </w:p>
          <w:p w:rsidR="003B02AE" w:rsidRDefault="003B02AE" w:rsidP="003B02AE">
            <w:pPr>
              <w:spacing w:line="240" w:lineRule="auto"/>
              <w:jc w:val="both"/>
            </w:pPr>
            <w:r w:rsidRPr="001A3C43">
              <w:rPr>
                <w:b/>
              </w:rPr>
              <w:t>Formulář</w:t>
            </w:r>
            <w:r>
              <w:rPr>
                <w:b/>
              </w:rPr>
              <w:t>e</w:t>
            </w:r>
            <w:r w:rsidRPr="001A3C43">
              <w:rPr>
                <w:b/>
              </w:rPr>
              <w:t xml:space="preserve"> žádosti a rozpočtu a ostatní povinné přílohy se odevzdávají v jednom písemném vyhotovení </w:t>
            </w:r>
            <w:r w:rsidRPr="00131696">
              <w:t xml:space="preserve">poštou na adresu: Ministerstvo kultury ČR, </w:t>
            </w:r>
            <w:r>
              <w:t>Samostatné oddělení Evropské unie</w:t>
            </w:r>
            <w:r w:rsidRPr="00131696">
              <w:t>, Maltézské náměstí 1, 118 11 Praha nebo osobně prostřednictvím podatelny Min</w:t>
            </w:r>
            <w:r>
              <w:t>isterstva kultury (adresa dtto).</w:t>
            </w:r>
          </w:p>
          <w:p w:rsidR="003B02AE" w:rsidRDefault="003B02AE" w:rsidP="003B02AE">
            <w:pPr>
              <w:spacing w:line="240" w:lineRule="auto"/>
              <w:jc w:val="both"/>
            </w:pPr>
            <w:r w:rsidRPr="001A3C43">
              <w:rPr>
                <w:b/>
              </w:rPr>
              <w:t>F</w:t>
            </w:r>
            <w:r>
              <w:rPr>
                <w:b/>
              </w:rPr>
              <w:t>ormulář</w:t>
            </w:r>
            <w:r w:rsidRPr="001A3C43">
              <w:rPr>
                <w:b/>
              </w:rPr>
              <w:t xml:space="preserve"> žádosti, rozpočtu a popis projektu</w:t>
            </w:r>
            <w:r>
              <w:t xml:space="preserve"> a dokumenty dokládající právní subjektivitu, zřízení bankovního </w:t>
            </w:r>
            <w:proofErr w:type="gramStart"/>
            <w:r>
              <w:t>účtu,  kopie</w:t>
            </w:r>
            <w:proofErr w:type="gramEnd"/>
            <w:r>
              <w:t xml:space="preserve"> smlouvy o poskytnutí grantu EK (hlavní organizátor) nebo kopii smlouvy o spoluorganizování projektu a doklad o získání finanční podpory projektu z programu Kreativní Evropa (účastník projektu)</w:t>
            </w:r>
          </w:p>
          <w:p w:rsidR="005A231D" w:rsidRPr="003B02AE" w:rsidRDefault="005A231D" w:rsidP="003B02AE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t xml:space="preserve">Dotace se poskytují v souladu se zákonem č. 218/200 Sb., o rozpočtových pravidlech a o změně některých souvisejících zákonů (rozpočtová pravidla) a podle pravidla de  </w:t>
            </w:r>
            <w:proofErr w:type="spellStart"/>
            <w:r>
              <w:t>minimis</w:t>
            </w:r>
            <w:proofErr w:type="spellEnd"/>
            <w:r>
              <w:t xml:space="preserve">, podle nařízení Komise (EU) č. 1407/2013. Pravidlo de </w:t>
            </w:r>
            <w:proofErr w:type="spellStart"/>
            <w:r>
              <w:t>minimis</w:t>
            </w:r>
            <w:proofErr w:type="spellEnd"/>
            <w:r>
              <w:t xml:space="preserve"> znamená, že podpora vyplacená jednomu subjektu v průběhu 3 let nemůže přesáhnout částku 100 000 eur. </w:t>
            </w:r>
          </w:p>
        </w:tc>
      </w:tr>
      <w:tr w:rsidR="00AB4CD2" w:rsidRPr="00AB4CD2" w:rsidTr="003B02AE">
        <w:trPr>
          <w:trHeight w:val="315"/>
        </w:trPr>
        <w:tc>
          <w:tcPr>
            <w:tcW w:w="979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4CD2" w:rsidRPr="003B02AE" w:rsidRDefault="00AB4CD2" w:rsidP="003B02AE">
            <w:pPr>
              <w:spacing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3B02A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1.</w:t>
            </w:r>
            <w:r w:rsidRPr="003B02A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Příjemce dotace je povinen výdaje na dotaci profinan</w:t>
            </w:r>
            <w:r w:rsidR="00EB4A32">
              <w:rPr>
                <w:rFonts w:eastAsia="Times New Roman" w:cs="Times New Roman"/>
                <w:sz w:val="24"/>
                <w:szCs w:val="24"/>
                <w:lang w:eastAsia="cs-CZ"/>
              </w:rPr>
              <w:t>covat nejpozději do 31. 12. 2017</w:t>
            </w:r>
            <w:r w:rsidRPr="003B02AE">
              <w:rPr>
                <w:rFonts w:eastAsia="Times New Roman" w:cs="Times New Roman"/>
                <w:sz w:val="24"/>
                <w:szCs w:val="24"/>
                <w:lang w:eastAsia="cs-CZ"/>
              </w:rPr>
              <w:t>. Rozumí se tím zaplacení plateb hrazených z dotace v hotovosti a poukázáním plateb hrazených z dotace bezhotovostně. Příjemce je oprávněn hradit z dotace i ty náklady projektu, které vznikly v období, na které byla dotace poskytnuta, předtím, než obdržel rozhodnutí o poskytnutí dotace.</w:t>
            </w:r>
          </w:p>
        </w:tc>
      </w:tr>
      <w:tr w:rsidR="00AB4CD2" w:rsidRPr="00AB4CD2" w:rsidTr="003B02AE">
        <w:trPr>
          <w:trHeight w:val="31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4CD2" w:rsidRPr="003B02AE" w:rsidRDefault="00AB4CD2" w:rsidP="003B02AE">
            <w:pPr>
              <w:spacing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3B02A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3</w:t>
            </w:r>
            <w:r w:rsidRPr="003B02AE">
              <w:rPr>
                <w:rFonts w:eastAsia="Times New Roman" w:cs="Times New Roman"/>
                <w:sz w:val="24"/>
                <w:szCs w:val="24"/>
                <w:lang w:eastAsia="cs-CZ"/>
              </w:rPr>
              <w:t>. Při používání prostředků z dotace je příjemce povinen postupovat v souladu se zákonem o zadávání veřejných zakázek v platném znění.</w:t>
            </w:r>
          </w:p>
        </w:tc>
      </w:tr>
      <w:tr w:rsidR="00AB4CD2" w:rsidRPr="00AB4CD2" w:rsidTr="003B02AE">
        <w:trPr>
          <w:trHeight w:val="69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4CD2" w:rsidRPr="003B02AE" w:rsidRDefault="00AB4CD2" w:rsidP="003B02AE">
            <w:pPr>
              <w:spacing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3B02A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4.</w:t>
            </w:r>
            <w:r w:rsidRPr="003B02A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Prostředky z dotace lze použít jen na účel uvedený v Rozhodnutí. Prostředky nelze použít na úhradu investic, pohoštění a dary, výdaje spojené se zahraničními cestami zaměstnanců (pokud nejsou součástí projektu), běžné provozní výdaje žadatele nesouvisející s projektem, bankovní poplatky, vyškolení personálu, zpracování žádosti, účetní a právní služby, udělení věcných nebo finančních ohodnocení. </w:t>
            </w:r>
          </w:p>
        </w:tc>
      </w:tr>
      <w:tr w:rsidR="00AB4CD2" w:rsidRPr="00AB4CD2" w:rsidTr="003B02AE">
        <w:trPr>
          <w:trHeight w:val="169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4CD2" w:rsidRPr="003B02AE" w:rsidRDefault="00AB4CD2" w:rsidP="003B02AE">
            <w:pPr>
              <w:spacing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3B02A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5.</w:t>
            </w:r>
            <w:r w:rsidRPr="003B02A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Příjemce není oprávněn převádět prostředky z dotace na jiné fyzické nebo právnické osoby s výjimkou těch, které poskytují výkony a služby spojené s realizací projektu, a to podle schváleného rozpočtu dotace (nelze tedy převádět prostředky jinému subjektu na základě smlouvy o sdružení, smlouvy o realizaci akce nebo o </w:t>
            </w:r>
            <w:proofErr w:type="gramStart"/>
            <w:r w:rsidRPr="003B02AE">
              <w:rPr>
                <w:rFonts w:eastAsia="Times New Roman" w:cs="Times New Roman"/>
                <w:sz w:val="24"/>
                <w:szCs w:val="24"/>
                <w:lang w:eastAsia="cs-CZ"/>
              </w:rPr>
              <w:t>spolupořadatelství a pod.).</w:t>
            </w:r>
            <w:proofErr w:type="gramEnd"/>
            <w:r w:rsidRPr="003B02A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Prvotní účetní doklady musí projít účetnictvím příjemce dotace. </w:t>
            </w:r>
          </w:p>
        </w:tc>
      </w:tr>
      <w:tr w:rsidR="00AB4CD2" w:rsidRPr="00AB4CD2" w:rsidTr="003B02AE">
        <w:trPr>
          <w:trHeight w:val="727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4CD2" w:rsidRPr="003B02AE" w:rsidRDefault="00AB4CD2" w:rsidP="003B02AE">
            <w:pPr>
              <w:spacing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3B02A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6.</w:t>
            </w:r>
            <w:r w:rsidRPr="003B02A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Příjemce dotace je před případným zánikem povinen přednostně vypořádat vztahy se státním rozpočtem.</w:t>
            </w:r>
          </w:p>
        </w:tc>
      </w:tr>
      <w:tr w:rsidR="00AB4CD2" w:rsidRPr="00AB4CD2" w:rsidTr="003B02AE">
        <w:trPr>
          <w:trHeight w:val="554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4CD2" w:rsidRPr="003B02AE" w:rsidRDefault="00AB4CD2" w:rsidP="003B02AE">
            <w:pPr>
              <w:spacing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3B02A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7.</w:t>
            </w:r>
            <w:r w:rsidRPr="003B02A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Příjemce je povinen zrealizovat projekt v rozsahu a kvalitě podle předložené žádosti o dotaci.</w:t>
            </w:r>
          </w:p>
        </w:tc>
      </w:tr>
      <w:tr w:rsidR="00AB4CD2" w:rsidRPr="00AB4CD2" w:rsidTr="003B02AE">
        <w:trPr>
          <w:trHeight w:val="31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4CD2" w:rsidRPr="003B02AE" w:rsidRDefault="00AB4CD2" w:rsidP="003B02AE">
            <w:pPr>
              <w:spacing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3B02A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8.</w:t>
            </w:r>
            <w:r w:rsidRPr="003B02A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Příjemce je povinen uvádět po obdržení tohoto rozhodnutí</w:t>
            </w:r>
            <w:r w:rsidRPr="003B02AE">
              <w:rPr>
                <w:rFonts w:eastAsia="Times New Roman" w:cs="Times New Roman"/>
                <w:color w:val="FF0000"/>
                <w:sz w:val="24"/>
                <w:szCs w:val="24"/>
                <w:lang w:eastAsia="cs-CZ"/>
              </w:rPr>
              <w:t xml:space="preserve"> </w:t>
            </w:r>
            <w:r w:rsidRPr="003B02AE">
              <w:rPr>
                <w:rFonts w:eastAsia="Times New Roman" w:cs="Times New Roman"/>
                <w:sz w:val="24"/>
                <w:szCs w:val="24"/>
                <w:lang w:eastAsia="cs-CZ"/>
              </w:rPr>
              <w:t>ve všech propagačních materiálech souvisejících s projektem, že se projekt uskutečňuje za finanční podpory Ministerstva kultury.</w:t>
            </w:r>
          </w:p>
        </w:tc>
      </w:tr>
      <w:tr w:rsidR="00AB4CD2" w:rsidRPr="00AB4CD2" w:rsidTr="003B02AE">
        <w:trPr>
          <w:trHeight w:val="69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4CD2" w:rsidRPr="003B02AE" w:rsidRDefault="00AB4CD2" w:rsidP="003B02AE">
            <w:pPr>
              <w:spacing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3B02A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9.</w:t>
            </w:r>
            <w:r w:rsidRPr="003B02A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Pokud se sníží celkový rozpočet projektu, je příjemce povinen zachovat procentuální podíl původně požadované dotace na původně deklarovaném rozpočtu.</w:t>
            </w:r>
          </w:p>
        </w:tc>
      </w:tr>
      <w:tr w:rsidR="00AB4CD2" w:rsidRPr="00AB4CD2" w:rsidTr="003B02AE">
        <w:trPr>
          <w:trHeight w:val="69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4CD2" w:rsidRPr="003B02AE" w:rsidRDefault="00AB4CD2" w:rsidP="005A231D">
            <w:pPr>
              <w:spacing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3B02A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10.</w:t>
            </w:r>
            <w:r w:rsidRPr="003B02A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Příjemce dotace je povinen prostředky ze státního rozpočtu používat hospodárně, efektivně a účelně – viz § 2 písm. m), n) a o) zákona č. 320/2001 Sb.  </w:t>
            </w:r>
          </w:p>
        </w:tc>
      </w:tr>
      <w:tr w:rsidR="00AB4CD2" w:rsidRPr="00AB4CD2" w:rsidTr="003B02AE">
        <w:trPr>
          <w:trHeight w:val="743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4CD2" w:rsidRPr="003B02AE" w:rsidRDefault="00AB4CD2" w:rsidP="003B02AE">
            <w:pPr>
              <w:spacing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3B02A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11.</w:t>
            </w:r>
            <w:r w:rsidRPr="003B02A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Pokud je projekt financován dotacemi z různých státních zdrojů, nesmí souběh těchto zdrojů činit více než 70% nákladů projektu.</w:t>
            </w:r>
          </w:p>
        </w:tc>
      </w:tr>
      <w:tr w:rsidR="00AB4CD2" w:rsidRPr="00AB4CD2" w:rsidTr="003B02AE">
        <w:trPr>
          <w:trHeight w:val="69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4CD2" w:rsidRPr="003B02AE" w:rsidRDefault="00AB4CD2" w:rsidP="003B02AE">
            <w:pPr>
              <w:spacing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3B02A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12.</w:t>
            </w:r>
            <w:r w:rsidRPr="003B02A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Příjemce dotace je povinen </w:t>
            </w:r>
            <w:proofErr w:type="gramStart"/>
            <w:r w:rsidRPr="003B02A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předložit </w:t>
            </w:r>
            <w:r w:rsidR="003B02AE">
              <w:t xml:space="preserve"> Samostatnému</w:t>
            </w:r>
            <w:proofErr w:type="gramEnd"/>
            <w:r w:rsidR="003B02AE">
              <w:t xml:space="preserve"> oddělení Evropské unie</w:t>
            </w:r>
            <w:r w:rsidR="003B02AE" w:rsidRPr="003B02A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3B02AE">
              <w:rPr>
                <w:rFonts w:eastAsia="Times New Roman" w:cs="Times New Roman"/>
                <w:sz w:val="24"/>
                <w:szCs w:val="24"/>
                <w:lang w:eastAsia="cs-CZ"/>
              </w:rPr>
              <w:t>současně s vyúčtováním písemnou závěrečnou zprávu o realizaci a výsledcích projektu.</w:t>
            </w:r>
          </w:p>
        </w:tc>
      </w:tr>
      <w:tr w:rsidR="00AB4CD2" w:rsidRPr="00AB4CD2" w:rsidTr="003B02AE">
        <w:trPr>
          <w:trHeight w:val="69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4CD2" w:rsidRPr="003B02AE" w:rsidRDefault="00AB4CD2" w:rsidP="003B02AE">
            <w:pPr>
              <w:spacing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3B02A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lastRenderedPageBreak/>
              <w:t>13.</w:t>
            </w:r>
            <w:r w:rsidRPr="003B02A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Příjemce dotace je povinen vyhotovit vyúčtování (příslušný formulář je ke stažení na webových stránkách MK v rubrice  SOEU – Granty a dotace) a zaslat jej Ministerstvu kultury:</w:t>
            </w:r>
          </w:p>
        </w:tc>
      </w:tr>
      <w:tr w:rsidR="00AB4CD2" w:rsidRPr="00AB4CD2" w:rsidTr="003B02AE">
        <w:trPr>
          <w:trHeight w:val="690"/>
        </w:trPr>
        <w:tc>
          <w:tcPr>
            <w:tcW w:w="979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CD2" w:rsidRPr="003B02AE" w:rsidRDefault="00EB4A32" w:rsidP="003B02AE">
            <w:pPr>
              <w:spacing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do </w:t>
            </w:r>
            <w:proofErr w:type="gramStart"/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15.2. 2018</w:t>
            </w:r>
            <w:proofErr w:type="gramEnd"/>
          </w:p>
        </w:tc>
      </w:tr>
      <w:tr w:rsidR="00AB4CD2" w:rsidRPr="00AB4CD2" w:rsidTr="003B02AE">
        <w:trPr>
          <w:trHeight w:val="315"/>
        </w:trPr>
        <w:tc>
          <w:tcPr>
            <w:tcW w:w="979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4CD2" w:rsidRPr="003B02AE" w:rsidRDefault="00AB4CD2" w:rsidP="003B02AE">
            <w:pPr>
              <w:spacing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3B02A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AB4CD2" w:rsidRPr="00AB4CD2" w:rsidTr="003B02AE">
        <w:trPr>
          <w:trHeight w:val="987"/>
        </w:trPr>
        <w:tc>
          <w:tcPr>
            <w:tcW w:w="979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4CD2" w:rsidRPr="003B02AE" w:rsidRDefault="00AB4CD2" w:rsidP="003B02AE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B02AE">
              <w:rPr>
                <w:rFonts w:eastAsia="Times New Roman" w:cs="Times New Roman"/>
                <w:sz w:val="24"/>
                <w:szCs w:val="24"/>
                <w:lang w:eastAsia="cs-CZ"/>
              </w:rPr>
              <w:t>Rozhodující je razítko pošty, při osobním doručení razítko podatelny Ministerstva kultury. Vyúčtování dotace bude obsahovat vyčíslení všech skutečných nákladů s rozpisem na jednotlivé nákladové položky a s vyznačením položek hrazených z dotace a dále skutečně dosažené příjmy. K vyúčtování budou přiloženy fotokopie účetních dokladů dosvědčujících použití dotace. Doklady musí splňovat náležitosti podle zákona o účetnictví.</w:t>
            </w:r>
          </w:p>
        </w:tc>
      </w:tr>
      <w:tr w:rsidR="00AB4CD2" w:rsidRPr="00AB4CD2" w:rsidTr="003B02AE">
        <w:trPr>
          <w:trHeight w:val="127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4CD2" w:rsidRPr="003B02AE" w:rsidRDefault="00AB4CD2" w:rsidP="003B02AE">
            <w:pPr>
              <w:spacing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3B02A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14.</w:t>
            </w:r>
            <w:r w:rsidRPr="003B02A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Příjemce dotace je povinen vrátit nevyčerpané prostředky dotace do 30 dnů od oznámení o odstoupení od projektu nebo jeho zrušení. Pokud vrací dotac</w:t>
            </w:r>
            <w:r w:rsidR="00EB4A32">
              <w:rPr>
                <w:rFonts w:eastAsia="Times New Roman" w:cs="Times New Roman"/>
                <w:sz w:val="24"/>
                <w:szCs w:val="24"/>
                <w:lang w:eastAsia="cs-CZ"/>
              </w:rPr>
              <w:t>i nebo její část během roku 2017</w:t>
            </w:r>
            <w:r w:rsidRPr="003B02AE">
              <w:rPr>
                <w:rFonts w:eastAsia="Times New Roman" w:cs="Times New Roman"/>
                <w:sz w:val="24"/>
                <w:szCs w:val="24"/>
                <w:lang w:eastAsia="cs-CZ"/>
              </w:rPr>
              <w:t>, je povinen ji zaslat na výdajový účet MK, ze kterého mu byla dotace uvolněna (organizace zřízené obcí či krajem prostřednictvím krajského úřadu).</w:t>
            </w:r>
          </w:p>
        </w:tc>
      </w:tr>
      <w:tr w:rsidR="00AB4CD2" w:rsidRPr="00AB4CD2" w:rsidTr="003B02AE">
        <w:trPr>
          <w:trHeight w:val="84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4CD2" w:rsidRPr="003B02AE" w:rsidRDefault="00AB4CD2" w:rsidP="003B02AE">
            <w:pPr>
              <w:spacing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3B02A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15.</w:t>
            </w:r>
            <w:r w:rsidRPr="003B02A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Vrací-li příjemce nevy</w:t>
            </w:r>
            <w:r w:rsidR="00EB4A32">
              <w:rPr>
                <w:rFonts w:eastAsia="Times New Roman" w:cs="Times New Roman"/>
                <w:sz w:val="24"/>
                <w:szCs w:val="24"/>
                <w:lang w:eastAsia="cs-CZ"/>
              </w:rPr>
              <w:t>užité prostředky po 31. 12. 2017</w:t>
            </w:r>
            <w:r w:rsidRPr="003B02AE">
              <w:rPr>
                <w:rFonts w:eastAsia="Times New Roman" w:cs="Times New Roman"/>
                <w:sz w:val="24"/>
                <w:szCs w:val="24"/>
                <w:lang w:eastAsia="cs-CZ"/>
              </w:rPr>
              <w:t>, zašle je na účet č.: 6015-3424001/0</w:t>
            </w:r>
            <w:r w:rsidR="00EB4A32">
              <w:rPr>
                <w:rFonts w:eastAsia="Times New Roman" w:cs="Times New Roman"/>
                <w:sz w:val="24"/>
                <w:szCs w:val="24"/>
                <w:lang w:eastAsia="cs-CZ"/>
              </w:rPr>
              <w:t>710 nejpozději do 15. února 2018</w:t>
            </w:r>
            <w:r w:rsidRPr="003B02AE">
              <w:rPr>
                <w:rFonts w:eastAsia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AB4CD2" w:rsidRPr="00AB4CD2" w:rsidTr="003B02AE">
        <w:trPr>
          <w:trHeight w:val="69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4CD2" w:rsidRPr="003B02AE" w:rsidRDefault="00AB4CD2" w:rsidP="003B02AE">
            <w:pPr>
              <w:spacing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3B02A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16.</w:t>
            </w:r>
            <w:r w:rsidRPr="003B02A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Příjemce dotace je povinen vyhotovit a Minist</w:t>
            </w:r>
            <w:r w:rsidR="00EB4A32">
              <w:rPr>
                <w:rFonts w:eastAsia="Times New Roman" w:cs="Times New Roman"/>
                <w:sz w:val="24"/>
                <w:szCs w:val="24"/>
                <w:lang w:eastAsia="cs-CZ"/>
              </w:rPr>
              <w:t>erstvu kultury do 15. února 2018</w:t>
            </w:r>
            <w:r w:rsidRPr="003B02A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zaslat podklady pro finanční vypořádání vztahů se státním rozpočtem podle Vyhlášky Ministerstva financí č.52/2008 Sb., kterou se stanoví zásady a termíny vypořádání vztahů se státním rozpočtem.</w:t>
            </w:r>
          </w:p>
        </w:tc>
        <w:bookmarkStart w:id="0" w:name="_GoBack"/>
        <w:bookmarkEnd w:id="0"/>
      </w:tr>
      <w:tr w:rsidR="00AB4CD2" w:rsidRPr="00AB4CD2" w:rsidTr="003B02AE">
        <w:trPr>
          <w:trHeight w:val="97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4CD2" w:rsidRPr="003B02AE" w:rsidRDefault="00AB4CD2" w:rsidP="003B02AE">
            <w:pPr>
              <w:spacing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3B02A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17.</w:t>
            </w:r>
            <w:r w:rsidRPr="003B02A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Ministerstvo kultury je oprávněno provádět u příjemce dotace kontrolu finančního hospodaření a dalších skutečností potřebných pro posouzení, zda jsou dodržovány podmínky stanovené tímto Rozhodnutím. Příjemce je povinen umožnit Ministerstvu kultury provedení této kontroly a poskytnout mu k tomu nezbytnou součinnost.</w:t>
            </w:r>
          </w:p>
        </w:tc>
      </w:tr>
      <w:tr w:rsidR="00AB4CD2" w:rsidRPr="00AB4CD2" w:rsidTr="003B02AE">
        <w:trPr>
          <w:trHeight w:val="86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4CD2" w:rsidRPr="003B02AE" w:rsidRDefault="00AB4CD2" w:rsidP="003B02AE">
            <w:pPr>
              <w:spacing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3B02A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18.</w:t>
            </w:r>
            <w:r w:rsidRPr="003B02A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Řízení o odnětí dotace může být zahájeno podle § 15 zákona č.218/2000 Sb., o rozpočtových pravidlech, pokud po vydání tohoto rozhodnutí nastanou skutečnosti uvedené v § 15 odst. 1 zákona č. 218/2000 Sb. (například dojde k vázání prostředků státního rozpočtu nebo Ministerstvo kultury zjistí, že údaje, na jejichž základě byla dotace poskytnuta, byly neúplné nebo nepravdivé).</w:t>
            </w:r>
          </w:p>
        </w:tc>
      </w:tr>
      <w:tr w:rsidR="00AB4CD2" w:rsidRPr="00AB4CD2" w:rsidTr="003B02AE">
        <w:trPr>
          <w:trHeight w:val="597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4CD2" w:rsidRPr="003B02AE" w:rsidRDefault="00AB4CD2" w:rsidP="003B02AE">
            <w:pPr>
              <w:spacing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3B02A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19. </w:t>
            </w:r>
            <w:r w:rsidRPr="003B02AE">
              <w:rPr>
                <w:rFonts w:eastAsia="Times New Roman" w:cs="Times New Roman"/>
                <w:sz w:val="24"/>
                <w:szCs w:val="24"/>
                <w:lang w:eastAsia="cs-CZ"/>
              </w:rPr>
              <w:t>Příjemce dotace je povinen do 14 dnů písemně oznámit změnu všech identifikačních údajů uvedených v předložené žádosti v průběhu období, na které byla dotace poskytnuta.</w:t>
            </w:r>
          </w:p>
        </w:tc>
      </w:tr>
      <w:tr w:rsidR="00AB4CD2" w:rsidRPr="00AB4CD2" w:rsidTr="003B02AE">
        <w:trPr>
          <w:trHeight w:val="675"/>
        </w:trPr>
        <w:tc>
          <w:tcPr>
            <w:tcW w:w="979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4CD2" w:rsidRPr="003B02AE" w:rsidRDefault="00AB4CD2" w:rsidP="003B02AE">
            <w:pPr>
              <w:spacing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3B02A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21.</w:t>
            </w:r>
            <w:r w:rsidRPr="003B02A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 případě, že příjemce dotace poruší uvedené podmínky, nebude mu poskytnuta případná dotace v následujícím rozpočtovém roce. Možnost uplatnění sankcí podle § 44a odst. 4 zákona č. 218/2000 Sb., o rozpočtových pravidlech tím není dotčena. Za méně závažné porušení povinností příjemce dotace (bez možnosti poskytnutí dotace v následujícím roce, bez uplatnění sankcí dle paragrafu § 44a odst. 4 zákona č. 218/2000 Sb.) se ve smyslu § 14 odst. 6 zákona č. 218/2000 Sb. považuje:</w:t>
            </w:r>
          </w:p>
        </w:tc>
      </w:tr>
      <w:tr w:rsidR="00AB4CD2" w:rsidRPr="00AB4CD2" w:rsidTr="003B02AE">
        <w:trPr>
          <w:trHeight w:val="315"/>
        </w:trPr>
        <w:tc>
          <w:tcPr>
            <w:tcW w:w="979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4CD2" w:rsidRPr="003B02AE" w:rsidRDefault="00AB4CD2" w:rsidP="003B02AE">
            <w:pPr>
              <w:spacing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3B02A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a)      </w:t>
            </w:r>
            <w:r w:rsidRPr="003B02AE">
              <w:rPr>
                <w:rFonts w:eastAsia="Times New Roman" w:cs="Times New Roman"/>
                <w:sz w:val="24"/>
                <w:szCs w:val="24"/>
                <w:lang w:eastAsia="cs-CZ"/>
              </w:rPr>
              <w:t>porušení</w:t>
            </w:r>
            <w:proofErr w:type="gramEnd"/>
            <w:r w:rsidRPr="003B02A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povinnosti příjemce uvádět na všech materiálech vytvořených v rámci projektu   </w:t>
            </w:r>
          </w:p>
        </w:tc>
      </w:tr>
      <w:tr w:rsidR="00AB4CD2" w:rsidRPr="00AB4CD2" w:rsidTr="003B02AE">
        <w:trPr>
          <w:trHeight w:val="315"/>
        </w:trPr>
        <w:tc>
          <w:tcPr>
            <w:tcW w:w="979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4CD2" w:rsidRPr="003B02AE" w:rsidRDefault="00AB4CD2" w:rsidP="003B02AE">
            <w:pPr>
              <w:spacing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3B02A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      </w:t>
            </w:r>
            <w:r w:rsidRPr="003B02A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nebo souvisejících s jeho realizací, že se projekt uskutečňuje za finanční podpory  </w:t>
            </w:r>
          </w:p>
        </w:tc>
      </w:tr>
      <w:tr w:rsidR="00AB4CD2" w:rsidRPr="00AB4CD2" w:rsidTr="003B02AE">
        <w:trPr>
          <w:trHeight w:val="315"/>
        </w:trPr>
        <w:tc>
          <w:tcPr>
            <w:tcW w:w="979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4CD2" w:rsidRPr="003B02AE" w:rsidRDefault="00AB4CD2" w:rsidP="003B02AE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B02A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  Ministerstva kultury,</w:t>
            </w:r>
          </w:p>
        </w:tc>
      </w:tr>
      <w:tr w:rsidR="00AB4CD2" w:rsidRPr="00AB4CD2" w:rsidTr="003B02AE">
        <w:trPr>
          <w:trHeight w:val="315"/>
        </w:trPr>
        <w:tc>
          <w:tcPr>
            <w:tcW w:w="979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4CD2" w:rsidRPr="003B02AE" w:rsidRDefault="00AB4CD2" w:rsidP="003B02AE">
            <w:pPr>
              <w:spacing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3B02A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b)      </w:t>
            </w:r>
            <w:r w:rsidRPr="003B02AE">
              <w:rPr>
                <w:rFonts w:eastAsia="Times New Roman" w:cs="Times New Roman"/>
                <w:sz w:val="24"/>
                <w:szCs w:val="24"/>
                <w:lang w:eastAsia="cs-CZ"/>
              </w:rPr>
              <w:t>nedodržení</w:t>
            </w:r>
            <w:proofErr w:type="gramEnd"/>
            <w:r w:rsidRPr="003B02A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lhůt pro zaslání závěrečné zprávy,</w:t>
            </w:r>
          </w:p>
        </w:tc>
      </w:tr>
      <w:tr w:rsidR="00AB4CD2" w:rsidRPr="00AB4CD2" w:rsidTr="003B02AE">
        <w:trPr>
          <w:trHeight w:val="315"/>
        </w:trPr>
        <w:tc>
          <w:tcPr>
            <w:tcW w:w="979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4CD2" w:rsidRPr="003B02AE" w:rsidRDefault="00AB4CD2" w:rsidP="003B02AE">
            <w:pPr>
              <w:spacing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3B02A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c)      </w:t>
            </w:r>
            <w:r w:rsidRPr="003B02AE">
              <w:rPr>
                <w:rFonts w:eastAsia="Times New Roman" w:cs="Times New Roman"/>
                <w:sz w:val="24"/>
                <w:szCs w:val="24"/>
                <w:lang w:eastAsia="cs-CZ"/>
              </w:rPr>
              <w:t>nedodržení</w:t>
            </w:r>
            <w:proofErr w:type="gramEnd"/>
            <w:r w:rsidRPr="003B02A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lhůt pro předložení vyúčtování,</w:t>
            </w:r>
          </w:p>
        </w:tc>
      </w:tr>
      <w:tr w:rsidR="00AB4CD2" w:rsidRPr="00AB4CD2" w:rsidTr="003B02AE">
        <w:trPr>
          <w:trHeight w:val="315"/>
        </w:trPr>
        <w:tc>
          <w:tcPr>
            <w:tcW w:w="979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4CD2" w:rsidRPr="003B02AE" w:rsidRDefault="00AB4CD2" w:rsidP="003B02AE">
            <w:pPr>
              <w:spacing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3B02A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d)      </w:t>
            </w:r>
            <w:r w:rsidRPr="003B02AE">
              <w:rPr>
                <w:rFonts w:eastAsia="Times New Roman" w:cs="Times New Roman"/>
                <w:sz w:val="24"/>
                <w:szCs w:val="24"/>
                <w:lang w:eastAsia="cs-CZ"/>
              </w:rPr>
              <w:t>nedodržení</w:t>
            </w:r>
            <w:proofErr w:type="gramEnd"/>
            <w:r w:rsidRPr="003B02A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lhůt pro oznámení změn identifikačních údajů příjemce,</w:t>
            </w:r>
          </w:p>
        </w:tc>
      </w:tr>
      <w:tr w:rsidR="00AB4CD2" w:rsidRPr="00AB4CD2" w:rsidTr="003B02AE">
        <w:trPr>
          <w:trHeight w:val="315"/>
        </w:trPr>
        <w:tc>
          <w:tcPr>
            <w:tcW w:w="979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4CD2" w:rsidRPr="003B02AE" w:rsidRDefault="00AB4CD2" w:rsidP="003B02AE">
            <w:pPr>
              <w:spacing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3B02A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e)      </w:t>
            </w:r>
            <w:r w:rsidRPr="003B02AE">
              <w:rPr>
                <w:rFonts w:eastAsia="Times New Roman" w:cs="Times New Roman"/>
                <w:sz w:val="24"/>
                <w:szCs w:val="24"/>
                <w:lang w:eastAsia="cs-CZ"/>
              </w:rPr>
              <w:t>nedodržení</w:t>
            </w:r>
            <w:proofErr w:type="gramEnd"/>
            <w:r w:rsidRPr="003B02A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struktury rozpisu dotace.</w:t>
            </w:r>
          </w:p>
        </w:tc>
      </w:tr>
      <w:tr w:rsidR="00AB4CD2" w:rsidRPr="00AB4CD2" w:rsidTr="003B02AE">
        <w:trPr>
          <w:trHeight w:val="315"/>
        </w:trPr>
        <w:tc>
          <w:tcPr>
            <w:tcW w:w="979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4CD2" w:rsidRPr="003B02AE" w:rsidRDefault="00AB4CD2" w:rsidP="003B02AE">
            <w:pPr>
              <w:spacing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3B02A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B4CD2" w:rsidRPr="00AB4CD2" w:rsidTr="003B02AE">
        <w:trPr>
          <w:trHeight w:val="315"/>
        </w:trPr>
        <w:tc>
          <w:tcPr>
            <w:tcW w:w="979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4CD2" w:rsidRPr="003B02AE" w:rsidRDefault="00AB4CD2" w:rsidP="003B02AE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B02A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Ministerstvo kultury upozorňuje na povinnosti podle zákona č. 563/1991 Sb., o účetnictví, v platném znění, především na povinnost vést účetnictví v plném rozsahu (podvojné účetnictví). Tuto povinnost nemají zejména spolky a jejich organizační jednotky, které mají právní subjektivitu </w:t>
            </w:r>
            <w:r w:rsidRPr="003B02AE">
              <w:rPr>
                <w:rFonts w:eastAsia="Times New Roman" w:cs="Times New Roman"/>
                <w:sz w:val="24"/>
                <w:szCs w:val="24"/>
                <w:lang w:eastAsia="cs-CZ"/>
              </w:rPr>
              <w:lastRenderedPageBreak/>
              <w:t>(ve smyslu nového občanského zákoníku – č. 89/2012 Sb.), pokud jejich celkové příjmy za poslední uzavřené účetní období nepřesáhly 3 mil. Kč.</w:t>
            </w:r>
          </w:p>
        </w:tc>
      </w:tr>
      <w:tr w:rsidR="00AB4CD2" w:rsidRPr="00AB4CD2" w:rsidTr="003B02AE">
        <w:trPr>
          <w:trHeight w:val="152"/>
        </w:trPr>
        <w:tc>
          <w:tcPr>
            <w:tcW w:w="61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D2" w:rsidRPr="003B02AE" w:rsidRDefault="00AB4CD2" w:rsidP="003B02AE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D2" w:rsidRPr="003B02AE" w:rsidRDefault="00AB4CD2" w:rsidP="003B02AE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D2" w:rsidRPr="003B02AE" w:rsidRDefault="00AB4CD2" w:rsidP="003B02AE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D2" w:rsidRPr="003B02AE" w:rsidRDefault="00AB4CD2" w:rsidP="003B02AE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D2" w:rsidRPr="003B02AE" w:rsidRDefault="00AB4CD2" w:rsidP="003B02AE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CD2" w:rsidRPr="003B02AE" w:rsidRDefault="00AB4CD2" w:rsidP="003B02AE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B02AE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AB4CD2" w:rsidRPr="00AB4CD2" w:rsidTr="003B02AE">
        <w:trPr>
          <w:trHeight w:val="80"/>
        </w:trPr>
        <w:tc>
          <w:tcPr>
            <w:tcW w:w="61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D2" w:rsidRPr="003B02AE" w:rsidRDefault="00AB4CD2" w:rsidP="003B02AE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B02AE">
              <w:rPr>
                <w:rFonts w:eastAsia="Times New Roman" w:cs="Times New Roman"/>
                <w:sz w:val="24"/>
                <w:szCs w:val="24"/>
                <w:lang w:eastAsia="cs-CZ"/>
              </w:rPr>
              <w:t>Poučení: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D2" w:rsidRPr="003B02AE" w:rsidRDefault="00AB4CD2" w:rsidP="003B02AE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D2" w:rsidRPr="003B02AE" w:rsidRDefault="00AB4CD2" w:rsidP="003B02AE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D2" w:rsidRPr="003B02AE" w:rsidRDefault="00AB4CD2" w:rsidP="003B02AE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D2" w:rsidRPr="003B02AE" w:rsidRDefault="00AB4CD2" w:rsidP="003B02AE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CD2" w:rsidRPr="003B02AE" w:rsidRDefault="00AB4CD2" w:rsidP="003B02AE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B02AE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AB4CD2" w:rsidRDefault="00AB4CD2"/>
    <w:p w:rsidR="000F3551" w:rsidRDefault="00AB4CD2">
      <w:r w:rsidRPr="00AB4CD2">
        <w:t>Proti tomuto rozhodnutí není podle § 14 odst. 5 zákona č. 218/2000 Sb., o rozpočtových pravidlech a o změně některých souvisejících zákonů (rozpočtová pravidla), v platném znění, přípustný opravný prostředek a je vyloučeno jeho soudní přezkoumání. Toto rozhodnutí nabývá právní moci dnem jeho doručení příjemci.</w:t>
      </w:r>
    </w:p>
    <w:sectPr w:rsidR="000F3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85369"/>
    <w:multiLevelType w:val="hybridMultilevel"/>
    <w:tmpl w:val="487C1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D2"/>
    <w:rsid w:val="00005D5A"/>
    <w:rsid w:val="000F3551"/>
    <w:rsid w:val="003B02AE"/>
    <w:rsid w:val="005A231D"/>
    <w:rsid w:val="007F0291"/>
    <w:rsid w:val="00AB4CD2"/>
    <w:rsid w:val="00E076E0"/>
    <w:rsid w:val="00EB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291"/>
    <w:pPr>
      <w:spacing w:after="0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291"/>
    <w:pPr>
      <w:spacing w:after="0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3EABF-AF96-4A39-9085-434FA662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6265</Characters>
  <Application>Microsoft Office Word</Application>
  <DocSecurity>4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Administrator</cp:lastModifiedBy>
  <cp:revision>2</cp:revision>
  <dcterms:created xsi:type="dcterms:W3CDTF">2017-01-19T13:16:00Z</dcterms:created>
  <dcterms:modified xsi:type="dcterms:W3CDTF">2017-01-19T13:16:00Z</dcterms:modified>
</cp:coreProperties>
</file>