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01" w:rsidRDefault="007B6401" w:rsidP="007B6401">
      <w:pPr>
        <w:pStyle w:val="Default"/>
        <w:rPr>
          <w:b/>
          <w:bCs/>
          <w:color w:val="auto"/>
          <w:sz w:val="23"/>
          <w:szCs w:val="23"/>
        </w:rPr>
      </w:pPr>
      <w:r w:rsidRPr="007B6401">
        <w:rPr>
          <w:b/>
          <w:bCs/>
          <w:color w:val="auto"/>
          <w:sz w:val="23"/>
          <w:szCs w:val="23"/>
        </w:rPr>
        <w:t>Odpovědi na výtky svolavatelů demonstrace</w:t>
      </w:r>
      <w:r>
        <w:rPr>
          <w:b/>
          <w:bCs/>
          <w:color w:val="auto"/>
          <w:sz w:val="23"/>
          <w:szCs w:val="23"/>
        </w:rPr>
        <w:t xml:space="preserve"> </w:t>
      </w:r>
      <w:r w:rsidR="006F58E1">
        <w:rPr>
          <w:b/>
          <w:bCs/>
          <w:color w:val="auto"/>
          <w:sz w:val="23"/>
          <w:szCs w:val="23"/>
        </w:rPr>
        <w:t xml:space="preserve">proti přijetí zákona o ochraně památkového fondu </w:t>
      </w:r>
      <w:r>
        <w:rPr>
          <w:b/>
          <w:bCs/>
          <w:color w:val="auto"/>
          <w:sz w:val="23"/>
          <w:szCs w:val="23"/>
        </w:rPr>
        <w:t>konané dne 23. června 2015 před sídlem Ministerstva kultury</w:t>
      </w:r>
      <w:r w:rsidRPr="007B6401">
        <w:rPr>
          <w:b/>
          <w:bCs/>
          <w:color w:val="auto"/>
          <w:sz w:val="23"/>
          <w:szCs w:val="23"/>
        </w:rPr>
        <w:t xml:space="preserve">: </w:t>
      </w:r>
    </w:p>
    <w:p w:rsidR="007B6401" w:rsidRPr="007B6401" w:rsidRDefault="007B6401" w:rsidP="007B6401">
      <w:pPr>
        <w:pStyle w:val="Default"/>
        <w:rPr>
          <w:b/>
          <w:bCs/>
          <w:color w:val="auto"/>
          <w:sz w:val="23"/>
          <w:szCs w:val="23"/>
        </w:rPr>
      </w:pPr>
    </w:p>
    <w:p w:rsidR="007B6401" w:rsidRPr="007B6401" w:rsidRDefault="007B6401" w:rsidP="007B6401">
      <w:pPr>
        <w:pStyle w:val="Default"/>
        <w:spacing w:after="5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Návrh z</w:t>
      </w:r>
      <w:r w:rsidRPr="007B6401">
        <w:rPr>
          <w:color w:val="auto"/>
          <w:sz w:val="22"/>
          <w:szCs w:val="22"/>
        </w:rPr>
        <w:t>ákon</w:t>
      </w:r>
      <w:r>
        <w:rPr>
          <w:color w:val="auto"/>
          <w:sz w:val="22"/>
          <w:szCs w:val="22"/>
        </w:rPr>
        <w:t>a</w:t>
      </w:r>
      <w:r w:rsidRPr="007B6401">
        <w:rPr>
          <w:color w:val="auto"/>
          <w:sz w:val="22"/>
          <w:szCs w:val="22"/>
        </w:rPr>
        <w:t xml:space="preserve"> údajně:</w:t>
      </w:r>
    </w:p>
    <w:p w:rsidR="007B6401" w:rsidRPr="007B6401" w:rsidRDefault="007B6401" w:rsidP="007B6401">
      <w:pPr>
        <w:pStyle w:val="Default"/>
        <w:numPr>
          <w:ilvl w:val="0"/>
          <w:numId w:val="1"/>
        </w:numPr>
        <w:spacing w:after="56"/>
        <w:jc w:val="both"/>
        <w:rPr>
          <w:color w:val="auto"/>
          <w:sz w:val="22"/>
          <w:szCs w:val="22"/>
        </w:rPr>
      </w:pPr>
      <w:r w:rsidRPr="007B6401">
        <w:rPr>
          <w:color w:val="auto"/>
          <w:sz w:val="22"/>
          <w:szCs w:val="22"/>
        </w:rPr>
        <w:t xml:space="preserve">nedefinuje ochranu památkového fondu jasně jako veřejný zájem na ochraně kulturního dědictví </w:t>
      </w:r>
    </w:p>
    <w:p w:rsidR="007B6401" w:rsidRPr="007B6401" w:rsidRDefault="007B6401" w:rsidP="007B6401">
      <w:pPr>
        <w:spacing w:before="120" w:after="120"/>
        <w:ind w:left="425"/>
        <w:jc w:val="both"/>
      </w:pPr>
      <w:r w:rsidRPr="007B6401">
        <w:t xml:space="preserve">Nesmysl. Svodně je uvedeno už v § 1 navrhovaného zákona. „Tento zákon </w:t>
      </w:r>
      <w:r w:rsidRPr="007B6401">
        <w:rPr>
          <w:b/>
          <w:bCs/>
        </w:rPr>
        <w:t xml:space="preserve">upravuje ochranu památkového fondu </w:t>
      </w:r>
      <w:r w:rsidRPr="007B6401">
        <w:t xml:space="preserve">jako součásti národního kulturního pokladu České republiky a jako součásti evropského a světového kulturního dědictví a </w:t>
      </w:r>
      <w:r w:rsidRPr="007B6401">
        <w:rPr>
          <w:b/>
          <w:bCs/>
        </w:rPr>
        <w:t>ve veřejném zájmu stanovuje podmínky pro jeho uchování, využití, poznávání, dokumentaci, zprostředkování a zpřístupňování</w:t>
      </w:r>
      <w:r w:rsidRPr="007B6401">
        <w:t>.“</w:t>
      </w:r>
    </w:p>
    <w:p w:rsidR="007B6401" w:rsidRPr="007B6401" w:rsidRDefault="007B6401" w:rsidP="007B6401">
      <w:pPr>
        <w:pStyle w:val="Default"/>
        <w:numPr>
          <w:ilvl w:val="0"/>
          <w:numId w:val="1"/>
        </w:numPr>
        <w:spacing w:after="56"/>
        <w:jc w:val="both"/>
        <w:rPr>
          <w:color w:val="auto"/>
          <w:sz w:val="22"/>
          <w:szCs w:val="22"/>
        </w:rPr>
      </w:pPr>
      <w:r w:rsidRPr="007B6401">
        <w:rPr>
          <w:color w:val="auto"/>
          <w:sz w:val="22"/>
          <w:szCs w:val="22"/>
        </w:rPr>
        <w:t xml:space="preserve">podstatně snižuje rozsah památkové ochrany hmotného kulturního dědictví </w:t>
      </w:r>
    </w:p>
    <w:p w:rsidR="007B6401" w:rsidRPr="007B6401" w:rsidRDefault="007B6401" w:rsidP="007B6401">
      <w:pPr>
        <w:pStyle w:val="Default"/>
        <w:spacing w:after="56"/>
        <w:ind w:left="426"/>
        <w:jc w:val="both"/>
        <w:rPr>
          <w:color w:val="auto"/>
          <w:sz w:val="22"/>
          <w:szCs w:val="22"/>
        </w:rPr>
      </w:pPr>
      <w:r w:rsidRPr="007B6401">
        <w:rPr>
          <w:color w:val="auto"/>
          <w:sz w:val="22"/>
          <w:szCs w:val="22"/>
        </w:rPr>
        <w:t>Naprosto nekonkrétní tvrzení. Taková nelze vyvrátit, ale ani je obhájit.</w:t>
      </w:r>
    </w:p>
    <w:p w:rsidR="007B6401" w:rsidRPr="007B6401" w:rsidRDefault="007B6401" w:rsidP="007B6401">
      <w:pPr>
        <w:pStyle w:val="Default"/>
        <w:numPr>
          <w:ilvl w:val="0"/>
          <w:numId w:val="1"/>
        </w:numPr>
        <w:spacing w:after="56"/>
        <w:jc w:val="both"/>
        <w:rPr>
          <w:color w:val="auto"/>
          <w:sz w:val="22"/>
          <w:szCs w:val="22"/>
        </w:rPr>
      </w:pPr>
      <w:r w:rsidRPr="007B6401">
        <w:rPr>
          <w:color w:val="auto"/>
          <w:sz w:val="22"/>
          <w:szCs w:val="22"/>
        </w:rPr>
        <w:t xml:space="preserve"> podstatným způsobem oslabuje váhu odborné složky v procesu péče o památkový fond </w:t>
      </w:r>
    </w:p>
    <w:p w:rsidR="007B6401" w:rsidRPr="007B6401" w:rsidRDefault="007B6401" w:rsidP="007B6401">
      <w:pPr>
        <w:pStyle w:val="Default"/>
        <w:spacing w:after="56"/>
        <w:ind w:left="426"/>
        <w:jc w:val="both"/>
        <w:rPr>
          <w:color w:val="auto"/>
          <w:sz w:val="22"/>
          <w:szCs w:val="22"/>
        </w:rPr>
      </w:pPr>
      <w:r w:rsidRPr="007B6401">
        <w:rPr>
          <w:color w:val="auto"/>
          <w:sz w:val="22"/>
          <w:szCs w:val="22"/>
        </w:rPr>
        <w:t>Nesmysl. Na rozdíl od stávající úpravy návrh zákona výslovně zakotvuje případy, kdy se NPÚ musí odborně vyjádřit. Podle stávajícího zákona postačí, když marně uplyne 20 dnů a orgán památkové péče lhůtu  NPÚ pro vyjádření neprodlouží.</w:t>
      </w:r>
    </w:p>
    <w:p w:rsidR="007B6401" w:rsidRPr="007B6401" w:rsidRDefault="007B6401" w:rsidP="007B6401">
      <w:pPr>
        <w:pStyle w:val="Default"/>
        <w:numPr>
          <w:ilvl w:val="0"/>
          <w:numId w:val="1"/>
        </w:numPr>
        <w:spacing w:after="56"/>
        <w:jc w:val="both"/>
        <w:rPr>
          <w:color w:val="auto"/>
          <w:sz w:val="22"/>
          <w:szCs w:val="22"/>
        </w:rPr>
      </w:pPr>
      <w:r w:rsidRPr="007B6401">
        <w:rPr>
          <w:color w:val="auto"/>
          <w:sz w:val="22"/>
          <w:szCs w:val="22"/>
        </w:rPr>
        <w:t xml:space="preserve"> stávající zákon z roku 1987 má 47 paragrafů, nový návrh zákona má paragrafů 154 </w:t>
      </w:r>
    </w:p>
    <w:p w:rsidR="007B6401" w:rsidRPr="007B6401" w:rsidRDefault="007B6401" w:rsidP="007B6401">
      <w:pPr>
        <w:pStyle w:val="Default"/>
        <w:spacing w:after="56"/>
        <w:ind w:left="426"/>
        <w:jc w:val="both"/>
        <w:rPr>
          <w:color w:val="auto"/>
          <w:sz w:val="22"/>
          <w:szCs w:val="22"/>
        </w:rPr>
      </w:pPr>
      <w:r w:rsidRPr="007B6401">
        <w:rPr>
          <w:color w:val="auto"/>
          <w:sz w:val="22"/>
          <w:szCs w:val="22"/>
        </w:rPr>
        <w:t xml:space="preserve">Není pravda. Stávající zákon má 61 paragrafů. Nelze vycházet z čísla posledního paragrafu zákona. Část definic a jiných náležitostí, které dle současné legislativní praxe musí upravovat zákon, upravuje prováděcí vyhláška č. 66/1988 Sb., která obsahuje 23 paragrafů (součet je tedy </w:t>
      </w:r>
      <w:r w:rsidR="00ED04EC">
        <w:rPr>
          <w:color w:val="auto"/>
          <w:sz w:val="22"/>
          <w:szCs w:val="22"/>
        </w:rPr>
        <w:t>8</w:t>
      </w:r>
      <w:bookmarkStart w:id="0" w:name="_GoBack"/>
      <w:bookmarkEnd w:id="0"/>
      <w:r w:rsidRPr="007B6401">
        <w:rPr>
          <w:color w:val="auto"/>
          <w:sz w:val="22"/>
          <w:szCs w:val="22"/>
        </w:rPr>
        <w:t>4 paragrafů).</w:t>
      </w:r>
    </w:p>
    <w:p w:rsidR="007B6401" w:rsidRPr="007B6401" w:rsidRDefault="007B6401" w:rsidP="007B6401">
      <w:pPr>
        <w:pStyle w:val="Default"/>
        <w:numPr>
          <w:ilvl w:val="0"/>
          <w:numId w:val="1"/>
        </w:numPr>
        <w:spacing w:after="56"/>
        <w:jc w:val="both"/>
        <w:rPr>
          <w:color w:val="auto"/>
          <w:sz w:val="22"/>
          <w:szCs w:val="22"/>
        </w:rPr>
      </w:pPr>
      <w:r w:rsidRPr="007B6401">
        <w:rPr>
          <w:color w:val="auto"/>
          <w:sz w:val="22"/>
          <w:szCs w:val="22"/>
        </w:rPr>
        <w:t>bobtná, vše komplikuje a umožňuje takřka nekonečné množství výkladů</w:t>
      </w:r>
    </w:p>
    <w:p w:rsidR="007B6401" w:rsidRPr="007B6401" w:rsidRDefault="007B6401" w:rsidP="007B6401">
      <w:pPr>
        <w:pStyle w:val="Default"/>
        <w:spacing w:after="56"/>
        <w:ind w:left="426"/>
        <w:jc w:val="both"/>
        <w:rPr>
          <w:color w:val="auto"/>
          <w:sz w:val="22"/>
          <w:szCs w:val="22"/>
        </w:rPr>
      </w:pPr>
      <w:r w:rsidRPr="007B6401">
        <w:rPr>
          <w:color w:val="auto"/>
          <w:sz w:val="22"/>
          <w:szCs w:val="22"/>
        </w:rPr>
        <w:t xml:space="preserve">Opět nekonkrétní tvrzení, kdy příklady nejsou uvedeny. Ale např. ČMKOS, jehož se svolavatelé demonstrace dovolávají, navrhuje zařadit např. do § 2 odst. 1 navrhovaného zákona </w:t>
      </w:r>
      <w:r w:rsidRPr="007B6401">
        <w:rPr>
          <w:b/>
          <w:bCs/>
          <w:color w:val="auto"/>
          <w:sz w:val="22"/>
          <w:szCs w:val="22"/>
        </w:rPr>
        <w:t>dalších 8 pojmů, aniž by bylo zřejmé, co je jejich obsahem</w:t>
      </w:r>
      <w:r w:rsidRPr="007B6401">
        <w:rPr>
          <w:color w:val="auto"/>
          <w:sz w:val="22"/>
          <w:szCs w:val="22"/>
        </w:rPr>
        <w:t xml:space="preserve"> (vyhověním ČMKOS by se např. úvodní dva paragrafy prodloužily </w:t>
      </w:r>
      <w:r w:rsidRPr="007B6401">
        <w:rPr>
          <w:b/>
          <w:bCs/>
          <w:color w:val="auto"/>
          <w:sz w:val="22"/>
          <w:szCs w:val="22"/>
        </w:rPr>
        <w:t>o dalších 5 odstavců</w:t>
      </w:r>
      <w:r w:rsidRPr="007B6401">
        <w:rPr>
          <w:color w:val="auto"/>
          <w:sz w:val="22"/>
          <w:szCs w:val="22"/>
        </w:rPr>
        <w:t xml:space="preserve">). Z toho vyplývá, že vyhovění zásadním připomínkám např. ČMKOS by tedy znamenalo další výrazné prodloužení navrhované normy…. </w:t>
      </w:r>
    </w:p>
    <w:p w:rsidR="007B6401" w:rsidRPr="007B6401" w:rsidRDefault="007B6401" w:rsidP="007B6401">
      <w:pPr>
        <w:pStyle w:val="Default"/>
        <w:numPr>
          <w:ilvl w:val="0"/>
          <w:numId w:val="1"/>
        </w:numPr>
        <w:spacing w:after="56"/>
        <w:jc w:val="both"/>
        <w:rPr>
          <w:color w:val="auto"/>
          <w:sz w:val="22"/>
          <w:szCs w:val="22"/>
        </w:rPr>
      </w:pPr>
      <w:r w:rsidRPr="007B6401">
        <w:rPr>
          <w:color w:val="auto"/>
          <w:sz w:val="22"/>
          <w:szCs w:val="22"/>
        </w:rPr>
        <w:t>na jeho tvorbě se podíleli i zástupci velkých stavebních firem (METROSTAV)</w:t>
      </w:r>
    </w:p>
    <w:p w:rsidR="007B6401" w:rsidRPr="007B6401" w:rsidRDefault="007B6401" w:rsidP="007B6401">
      <w:pPr>
        <w:pStyle w:val="Default"/>
        <w:spacing w:after="56"/>
        <w:ind w:left="426"/>
        <w:jc w:val="both"/>
        <w:rPr>
          <w:color w:val="auto"/>
          <w:sz w:val="22"/>
          <w:szCs w:val="22"/>
        </w:rPr>
      </w:pPr>
      <w:r w:rsidRPr="007B6401">
        <w:rPr>
          <w:color w:val="auto"/>
          <w:sz w:val="22"/>
          <w:szCs w:val="22"/>
        </w:rPr>
        <w:t xml:space="preserve">Nesmysl. Od samého počátku jsou výstupy z poradních týmů zveřejňovány na webu. METROSTAV se prací komise náměstkyně ministra kultury nezúčastnil, na tvorbě zákona se tedy nepodílel, tudíž nemohl ani nic prosadit. </w:t>
      </w:r>
    </w:p>
    <w:p w:rsidR="007B6401" w:rsidRPr="007B6401" w:rsidRDefault="007B6401" w:rsidP="007B6401">
      <w:pPr>
        <w:pStyle w:val="Default"/>
        <w:numPr>
          <w:ilvl w:val="0"/>
          <w:numId w:val="1"/>
        </w:numPr>
        <w:spacing w:after="56"/>
        <w:jc w:val="both"/>
        <w:rPr>
          <w:color w:val="auto"/>
          <w:sz w:val="22"/>
          <w:szCs w:val="22"/>
        </w:rPr>
      </w:pPr>
      <w:r w:rsidRPr="007B6401">
        <w:rPr>
          <w:color w:val="auto"/>
          <w:sz w:val="22"/>
          <w:szCs w:val="22"/>
        </w:rPr>
        <w:t xml:space="preserve">po několikaleté přípravě bylo LRV do </w:t>
      </w:r>
      <w:proofErr w:type="gramStart"/>
      <w:r w:rsidRPr="007B6401">
        <w:rPr>
          <w:color w:val="auto"/>
          <w:sz w:val="22"/>
          <w:szCs w:val="22"/>
        </w:rPr>
        <w:t>29.5.2015</w:t>
      </w:r>
      <w:proofErr w:type="gramEnd"/>
      <w:r w:rsidRPr="007B6401">
        <w:rPr>
          <w:color w:val="auto"/>
          <w:sz w:val="22"/>
          <w:szCs w:val="22"/>
        </w:rPr>
        <w:t xml:space="preserve"> odesláno 507 (!) připomínek</w:t>
      </w:r>
    </w:p>
    <w:p w:rsidR="007B6401" w:rsidRPr="007B6401" w:rsidRDefault="007B6401" w:rsidP="007B6401">
      <w:pPr>
        <w:pStyle w:val="Default"/>
        <w:spacing w:after="56"/>
        <w:ind w:left="426"/>
        <w:jc w:val="both"/>
        <w:rPr>
          <w:color w:val="auto"/>
          <w:sz w:val="22"/>
          <w:szCs w:val="22"/>
        </w:rPr>
      </w:pPr>
      <w:r w:rsidRPr="007B6401">
        <w:rPr>
          <w:color w:val="auto"/>
          <w:sz w:val="22"/>
          <w:szCs w:val="22"/>
        </w:rPr>
        <w:t>Nesmysl, vyplývající z neznalosti procesu. Připomínky nejsou odesílány Legislativní radě vlády, ale Ministerstvu kultury. To je povinno je vypořádat tak, jak vyplývá z Legislativních pravidel vlády. Tento procesní krok se jmenuje „připomínkové řízení“ (jeho povahou je zasílání připomínek a jejich vypořádání), a jedná se o standardní postup při předkládání návrhu zákona. Jen pro upřesnění celého procesu: po vypořádání připomínek půjde návrh na projednání odborných komisí Legislativní rady vlády, teprve poté dojde k jeho projednání Legislativní radou vlády a až potom bude návrh zákona předložen vládě k projednání.</w:t>
      </w:r>
    </w:p>
    <w:p w:rsidR="007B6401" w:rsidRPr="007B6401" w:rsidRDefault="007B6401" w:rsidP="007B6401">
      <w:pPr>
        <w:pStyle w:val="Default"/>
        <w:numPr>
          <w:ilvl w:val="0"/>
          <w:numId w:val="1"/>
        </w:numPr>
        <w:spacing w:after="56"/>
        <w:jc w:val="both"/>
        <w:rPr>
          <w:color w:val="auto"/>
          <w:sz w:val="22"/>
          <w:szCs w:val="22"/>
        </w:rPr>
      </w:pPr>
      <w:r w:rsidRPr="007B6401">
        <w:rPr>
          <w:color w:val="auto"/>
          <w:sz w:val="22"/>
          <w:szCs w:val="22"/>
        </w:rPr>
        <w:t xml:space="preserve">jen 26 paragrafů ze 154 nebylo Kraji, ČMKOS a ostatními organizacemi kritizováno </w:t>
      </w:r>
    </w:p>
    <w:p w:rsidR="007B6401" w:rsidRPr="007B6401" w:rsidRDefault="007B6401" w:rsidP="007B6401">
      <w:pPr>
        <w:pStyle w:val="Default"/>
        <w:spacing w:after="56"/>
        <w:ind w:left="426"/>
        <w:jc w:val="both"/>
        <w:rPr>
          <w:color w:val="auto"/>
          <w:sz w:val="22"/>
          <w:szCs w:val="22"/>
        </w:rPr>
      </w:pPr>
      <w:r w:rsidRPr="007B6401">
        <w:rPr>
          <w:color w:val="auto"/>
          <w:sz w:val="22"/>
          <w:szCs w:val="22"/>
        </w:rPr>
        <w:t>Tato statistika o ničem zásadním nevypovídá a je zavádějící. Připomínková místa se na způsobu řešení úpravy konkrétních ustanovení neshodla. Např. v otázce účasti veřejnosti řada připomínkových míst požadovala absolutní vyloučení veřejnosti z postupů podle navrhovaného zákona a jiná naopak zásadní rozšíření okruhu osob, které by se měly na jednotlivých procesech podílet</w:t>
      </w:r>
      <w:proofErr w:type="gramStart"/>
      <w:r w:rsidRPr="007B6401">
        <w:rPr>
          <w:color w:val="auto"/>
          <w:sz w:val="22"/>
          <w:szCs w:val="22"/>
        </w:rPr>
        <w:t>…..</w:t>
      </w:r>
      <w:proofErr w:type="gramEnd"/>
    </w:p>
    <w:p w:rsidR="007B6401" w:rsidRPr="007B6401" w:rsidRDefault="007B6401" w:rsidP="007B6401">
      <w:pPr>
        <w:pStyle w:val="Default"/>
        <w:numPr>
          <w:ilvl w:val="0"/>
          <w:numId w:val="1"/>
        </w:numPr>
        <w:spacing w:after="56"/>
        <w:jc w:val="both"/>
        <w:rPr>
          <w:color w:val="auto"/>
          <w:sz w:val="22"/>
          <w:szCs w:val="22"/>
        </w:rPr>
      </w:pPr>
      <w:r w:rsidRPr="007B6401">
        <w:rPr>
          <w:color w:val="auto"/>
          <w:sz w:val="22"/>
          <w:szCs w:val="22"/>
        </w:rPr>
        <w:t xml:space="preserve">pojmy v něm definované nekorespondují s příslušnými definicemi Konvence o záchraně architektonického dědictví Evropy, mezinárodního předpisu, který je zákonu o památkovém fondu nadřazen </w:t>
      </w:r>
    </w:p>
    <w:p w:rsidR="007B6401" w:rsidRPr="007B6401" w:rsidRDefault="007B6401" w:rsidP="007B6401">
      <w:pPr>
        <w:pStyle w:val="Default"/>
        <w:spacing w:after="56"/>
        <w:ind w:left="426"/>
        <w:jc w:val="both"/>
        <w:rPr>
          <w:color w:val="auto"/>
          <w:sz w:val="22"/>
          <w:szCs w:val="22"/>
        </w:rPr>
      </w:pPr>
      <w:r w:rsidRPr="007B6401">
        <w:rPr>
          <w:color w:val="auto"/>
          <w:sz w:val="22"/>
          <w:szCs w:val="22"/>
        </w:rPr>
        <w:lastRenderedPageBreak/>
        <w:t xml:space="preserve">Další nekonkrétní tvrzení. Navíc: uvedená mezinárodní úmluva se jmenuje nikoli </w:t>
      </w:r>
      <w:r w:rsidRPr="007B6401">
        <w:rPr>
          <w:color w:val="auto"/>
          <w:sz w:val="22"/>
          <w:szCs w:val="22"/>
          <w:u w:val="single"/>
        </w:rPr>
        <w:t>Konvence</w:t>
      </w:r>
      <w:r w:rsidRPr="007B6401">
        <w:rPr>
          <w:color w:val="auto"/>
          <w:sz w:val="22"/>
          <w:szCs w:val="22"/>
        </w:rPr>
        <w:t xml:space="preserve"> o </w:t>
      </w:r>
      <w:r w:rsidRPr="007B6401">
        <w:rPr>
          <w:color w:val="auto"/>
          <w:sz w:val="22"/>
          <w:szCs w:val="22"/>
          <w:u w:val="single"/>
        </w:rPr>
        <w:t>záchraně</w:t>
      </w:r>
      <w:r w:rsidRPr="007B6401">
        <w:rPr>
          <w:color w:val="auto"/>
          <w:sz w:val="22"/>
          <w:szCs w:val="22"/>
        </w:rPr>
        <w:t xml:space="preserve"> architektonického dědictví Evropy ale </w:t>
      </w:r>
      <w:r w:rsidRPr="007B6401">
        <w:rPr>
          <w:color w:val="auto"/>
          <w:sz w:val="22"/>
          <w:szCs w:val="22"/>
          <w:u w:val="single"/>
        </w:rPr>
        <w:t>Úmluva</w:t>
      </w:r>
      <w:r w:rsidRPr="007B6401">
        <w:rPr>
          <w:color w:val="auto"/>
          <w:sz w:val="22"/>
          <w:szCs w:val="22"/>
        </w:rPr>
        <w:t xml:space="preserve"> o </w:t>
      </w:r>
      <w:r w:rsidRPr="007B6401">
        <w:rPr>
          <w:color w:val="auto"/>
          <w:sz w:val="22"/>
          <w:szCs w:val="22"/>
          <w:u w:val="single"/>
        </w:rPr>
        <w:t>ochraně</w:t>
      </w:r>
      <w:r w:rsidRPr="007B6401">
        <w:rPr>
          <w:color w:val="auto"/>
          <w:sz w:val="22"/>
          <w:szCs w:val="22"/>
        </w:rPr>
        <w:t xml:space="preserve"> architektonického dědictví Evropy (viz č. 73/2000 </w:t>
      </w:r>
      <w:proofErr w:type="spellStart"/>
      <w:proofErr w:type="gramStart"/>
      <w:r w:rsidRPr="007B6401">
        <w:rPr>
          <w:color w:val="auto"/>
          <w:sz w:val="22"/>
          <w:szCs w:val="22"/>
        </w:rPr>
        <w:t>Sb.m.</w:t>
      </w:r>
      <w:proofErr w:type="gramEnd"/>
      <w:r w:rsidRPr="007B6401">
        <w:rPr>
          <w:color w:val="auto"/>
          <w:sz w:val="22"/>
          <w:szCs w:val="22"/>
        </w:rPr>
        <w:t>s</w:t>
      </w:r>
      <w:proofErr w:type="spellEnd"/>
      <w:r w:rsidRPr="007B6401">
        <w:rPr>
          <w:color w:val="auto"/>
          <w:sz w:val="22"/>
          <w:szCs w:val="22"/>
        </w:rPr>
        <w:t>.).  (Dovolávat se souladu s dokumentem, jehož název není ani správně citován, je přinejmenším zvláštní.)</w:t>
      </w:r>
    </w:p>
    <w:p w:rsidR="008B6CFB" w:rsidRPr="007B6401" w:rsidRDefault="008B6CFB"/>
    <w:sectPr w:rsidR="008B6CFB" w:rsidRPr="007B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525"/>
    <w:multiLevelType w:val="hybridMultilevel"/>
    <w:tmpl w:val="9A508230"/>
    <w:lvl w:ilvl="0" w:tplc="1F764E8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91CD4"/>
    <w:multiLevelType w:val="hybridMultilevel"/>
    <w:tmpl w:val="5546E4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01"/>
    <w:rsid w:val="000B4349"/>
    <w:rsid w:val="003723DF"/>
    <w:rsid w:val="006F58E1"/>
    <w:rsid w:val="007B6401"/>
    <w:rsid w:val="008B6CFB"/>
    <w:rsid w:val="00E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40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7B6401"/>
    <w:pPr>
      <w:autoSpaceDE w:val="0"/>
      <w:autoSpaceDN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40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7B6401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Vajčner Jiří</cp:lastModifiedBy>
  <cp:revision>2</cp:revision>
  <dcterms:created xsi:type="dcterms:W3CDTF">2015-06-26T07:07:00Z</dcterms:created>
  <dcterms:modified xsi:type="dcterms:W3CDTF">2015-06-26T07:07:00Z</dcterms:modified>
</cp:coreProperties>
</file>