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072" w:rsidRPr="00AA77C7" w:rsidRDefault="00330CB7" w:rsidP="00DA02CA">
      <w:pPr>
        <w:pStyle w:val="Pagedecouvertur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7D846A46-FE0A-47F6-A411-2EF3915E0AF5" style="width:450.9pt;height:408.4pt">
            <v:imagedata r:id="rId12" o:title=""/>
          </v:shape>
        </w:pict>
      </w:r>
    </w:p>
    <w:p w:rsidR="00371400" w:rsidRPr="00AA77C7" w:rsidRDefault="00371400" w:rsidP="00371400">
      <w:pPr>
        <w:sectPr w:rsidR="00371400" w:rsidRPr="00AA77C7" w:rsidSect="00DA02CA">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1"/>
          <w:cols w:space="720"/>
          <w:docGrid w:linePitch="360"/>
        </w:sectPr>
      </w:pPr>
    </w:p>
    <w:p w:rsidR="00C5603D" w:rsidRPr="00AA77C7" w:rsidRDefault="00C5603D" w:rsidP="0039314B">
      <w:pPr>
        <w:pStyle w:val="Exposdesmotifstitre"/>
      </w:pPr>
      <w:r w:rsidRPr="00AA77C7">
        <w:lastRenderedPageBreak/>
        <w:t>DŮVODOVÁ ZPRÁVA</w:t>
      </w:r>
    </w:p>
    <w:p w:rsidR="00F9082F" w:rsidRPr="00AA77C7" w:rsidRDefault="00C5603D" w:rsidP="0039314B">
      <w:pPr>
        <w:pStyle w:val="ManualHeading1"/>
      </w:pPr>
      <w:r w:rsidRPr="00AA77C7">
        <w:t>1.</w:t>
      </w:r>
      <w:r w:rsidRPr="00AA77C7">
        <w:tab/>
        <w:t>SOUVISLOSTI NÁVRHU</w:t>
      </w:r>
    </w:p>
    <w:p w:rsidR="00C5603D" w:rsidRPr="00AA77C7" w:rsidRDefault="00710638" w:rsidP="00710638">
      <w:pPr>
        <w:pStyle w:val="ManualHeading2"/>
        <w:rPr>
          <w:rFonts w:eastAsia="Arial Unicode MS"/>
        </w:rPr>
      </w:pPr>
      <w:r w:rsidRPr="00AA77C7">
        <w:tab/>
        <w:t xml:space="preserve">Odůvodnění a cíle </w:t>
      </w:r>
    </w:p>
    <w:p w:rsidR="00A54246" w:rsidRPr="00AA77C7" w:rsidRDefault="003973DD" w:rsidP="00A54246">
      <w:r w:rsidRPr="00AA77C7">
        <w:t>Bohaté kulturní dědictví Evropy a její dynamická kulturní a kreativní odvětví jsou součástí evropské identity. Kultura a kulturní projevy jsou v každodenním životě občanů Unie velmi patrné a mohou přispívat k blahu, aktivnímu občanství, společným hodnotám, sociálnímu začleňování a rozvoji mezikulturních dialogů, ale i svobodného, pluralistického a rozmanitého mediálního prostředí. Kulturní a kreativní odvětví plně přispívají k hospodářskému rozvoji Unie, protože vytvářejí pracovní místa a růst, a jsou tedy klíčová pro budoucnost Evropy.</w:t>
      </w:r>
    </w:p>
    <w:p w:rsidR="00A54246" w:rsidRPr="00AA77C7" w:rsidRDefault="00A54246" w:rsidP="00A54246">
      <w:r w:rsidRPr="00AA77C7">
        <w:t>Tato odvětví mají také moc utvářet nejen naše ambice a vztahy s ostatními lidmi a se světem, ale i místa a krajiny, kde žijeme, či životní styly, jimiž žijeme. Přispívají k evropské excelenci na světové scéně, a posilují tak globální postavení Unie.</w:t>
      </w:r>
    </w:p>
    <w:p w:rsidR="00A54246" w:rsidRPr="00AA77C7" w:rsidRDefault="00A54246" w:rsidP="00A54246">
      <w:r w:rsidRPr="00AA77C7">
        <w:t>Evropská podpora kultury a audiov</w:t>
      </w:r>
      <w:bookmarkStart w:id="0" w:name="_GoBack"/>
      <w:bookmarkEnd w:id="0"/>
      <w:r w:rsidRPr="00AA77C7">
        <w:t>izuálního odvětví byla řadu let poskytována prostřednictvím různých programů financování. Program Kreativní Evropa 2014–2020 je jedinečnou platformou pro koordinovanou a konstruktivní pomoc těmto odvětvím na celém kontinentu. Tento návrh staví na těchto zkušenostech a hodlá nadále pracovat s prvky, které dobře fungují, a dále je posilovat, mimo jiné prostřednictvím posíleného rozpočtu, který odráží závazek Evropské unie vůči těmto odvětvím a uznání jejich důležité role v Unii. Prostřednictvím mnoha činností a projektů, které bude tento návrh financovat, bude rozhodujícím činitelem při posilování evropských kulturních a kreativních odvětví a při využívání jejich plného potenciálu v hospodářské, sociální a mezinárodní perspektivě.</w:t>
      </w:r>
    </w:p>
    <w:p w:rsidR="00F9082F" w:rsidRPr="00AA77C7" w:rsidRDefault="00F9082F" w:rsidP="00773FA7">
      <w:r w:rsidRPr="00AA77C7">
        <w:t>Článek 3 Smlouvy o Evropské unii uvádí, že „</w:t>
      </w:r>
      <w:r w:rsidRPr="00AA77C7">
        <w:rPr>
          <w:i/>
        </w:rPr>
        <w:t>cílem Unie je podporovat mír, své hodnoty a blahobyt svých obyvatel</w:t>
      </w:r>
      <w:r w:rsidRPr="00AA77C7">
        <w:t>“ a že Unie mimo jiné „</w:t>
      </w:r>
      <w:r w:rsidRPr="00AA77C7">
        <w:rPr>
          <w:i/>
        </w:rPr>
        <w:t>respektuje svou bohatou kulturní a jazykovou rozmanitost a dbá na zachování a rozvoj evropského kulturního dědictví</w:t>
      </w:r>
      <w:r w:rsidRPr="00AA77C7">
        <w:t>“. V souladu s tím pak diskusní dokument Komise o budoucnosti financí EU uvádí. že „</w:t>
      </w:r>
      <w:r w:rsidRPr="00AA77C7">
        <w:rPr>
          <w:i/>
        </w:rPr>
        <w:t>rozpočet EU tento cíl podporuje, a to v kombinaci s vnitrostátními rozpočty a jako doplněk k úsilí vyvíjenému na evropské a vnitrostátní úrovni</w:t>
      </w:r>
      <w:r w:rsidRPr="00AA77C7">
        <w:t>“.</w:t>
      </w:r>
    </w:p>
    <w:p w:rsidR="00CD0EBE" w:rsidRPr="00AA77C7" w:rsidRDefault="00CD0EBE" w:rsidP="00CD0EBE">
      <w:r w:rsidRPr="00AA77C7">
        <w:t>Na podporu konkurenceschopnosti a kulturní a jazykové rozmanitosti audiovizuálního odvětví využívá EU několik nástrojů kombinujících právní předpisy, politickou podporu a financování. Strategie pro jednotný digitální trh v Evropě vyzývá k modernizaci právního rámce, což pak vyžaduje přizpůsobení finanční podpory EU poskytované audiovizuálnímu odvětví tak, aby odrážela nové trendy na trhu, měnící se vzorce spotřebitelů a zvyšující se konvergenci mezi lineárními a nelineárními službami.</w:t>
      </w:r>
    </w:p>
    <w:p w:rsidR="00ED00AB" w:rsidRPr="00AA77C7" w:rsidRDefault="00ED00AB" w:rsidP="00ED00AB">
      <w:pPr>
        <w:spacing w:after="240"/>
      </w:pPr>
      <w:r w:rsidRPr="00AA77C7">
        <w:t>Kulturní a kreativní odvětví však čelí řadě výzev.</w:t>
      </w:r>
    </w:p>
    <w:p w:rsidR="00ED00AB" w:rsidRPr="00AA77C7" w:rsidRDefault="00ED00AB" w:rsidP="00ED00AB">
      <w:r w:rsidRPr="00AA77C7">
        <w:t>Za prvé, kulturní a kreativní odvětví v Evropě musí čelit zvýšené konkurenci nových a silných světových aktérů, jako jsou vyhledávače a internetové sociální platformy. To vedlo k potřebě vytvořit nové obchodní modely a realizovat potenciál pro růst využitím výhod digitálních technologií, aby byla konkurenceschopná na globálním trhu.</w:t>
      </w:r>
    </w:p>
    <w:p w:rsidR="00ED00AB" w:rsidRPr="00AA77C7" w:rsidRDefault="00ED00AB" w:rsidP="00ED00AB">
      <w:r w:rsidRPr="00AA77C7">
        <w:t>Za druhé, přechod na digitální technologii vede ke změně paradigmatu, která má obrovský dopad na to, jsou kulturní statky vytvářeny, řízeny, šířeny, zpřístupňovány, spotřebovávány a zpeněžovány, což mění hodnotové teze, které převládaly v analogové éře. Digitalizace usnadnila distribuci kulturního a kreativního obsahu a služeb, ale posílila také přeshraniční konkurenci obsahu v celosvětovém měřítku.</w:t>
      </w:r>
    </w:p>
    <w:p w:rsidR="00867409" w:rsidRPr="00AA77C7" w:rsidRDefault="00ED00AB" w:rsidP="00ED00AB">
      <w:r w:rsidRPr="00AA77C7">
        <w:t>Za třetí, trh s kulturními a kreativními díly je vysoce roztříštěný, což pramení zejména z kulturní a jazykové rozmanitosti Evropy, což znamená, že kulturní a kreativní odvětví se v podstatě tříští podél národních a jazykových hranic, a chybí jim tak kritické množství. Tato rozmanitost je součástí kulturního bohatství Evropy.</w:t>
      </w:r>
    </w:p>
    <w:p w:rsidR="00ED00AB" w:rsidRPr="00AA77C7" w:rsidRDefault="00ED00AB" w:rsidP="00ED00AB">
      <w:r w:rsidRPr="00AA77C7">
        <w:lastRenderedPageBreak/>
        <w:t>Současně je i nadále omezen přeshraniční oběh děl. Je proto důležité stimulovat tento přeshraniční oběh a přeshraniční koprodukci děl a rozvíjet účinnější způsoby, jak oslovovat obecenstvo za hranicemi.</w:t>
      </w:r>
    </w:p>
    <w:p w:rsidR="00ED00AB" w:rsidRPr="00AA77C7" w:rsidRDefault="00ED00AB" w:rsidP="00ED00AB">
      <w:r w:rsidRPr="00AA77C7">
        <w:t xml:space="preserve">Za čtvrté, rostoucí obavy budí koncentrace trhu. V některých kulturních a kreativních oblastech se objevuje trend, kdy za značnou částí celosvětového prodeje stojí jen malý počet velkých hráčů. </w:t>
      </w:r>
    </w:p>
    <w:p w:rsidR="00ED00AB" w:rsidRPr="00AA77C7" w:rsidRDefault="00ED00AB" w:rsidP="00ED00AB">
      <w:r w:rsidRPr="00AA77C7">
        <w:t>Za páté, evropský audiovizuální průmysl je sice mezinárodně uznávaný, avšak není dostatečně konkurenceschopný uvnitř jednotného digitálního trhu. Na 80 % evropských filmů jsou národní produkce, přes hranice však mnohem lépe „cestuje“ koprodukční tvorba. V některých zemích musí audiovizuální pracovníci posílit svou operativnost.</w:t>
      </w:r>
    </w:p>
    <w:p w:rsidR="00ED00AB" w:rsidRPr="00AA77C7" w:rsidRDefault="00ED00AB" w:rsidP="00ED00AB">
      <w:r w:rsidRPr="00AA77C7">
        <w:t>A v neposlední řadě je zde narůstající jev dezinformací. Odvětví obsahu, zejména odvětví zpravodajských médií, jsou v centru boje za udržení kultury zdravé demokratické diskuse. Umělecká svoboda a rozmanité a svobodné mediální prostředí mají zásadní význam pro předávání rozdílných názorů a perspektiv. Přispívají k pluralitní společnosti, kde se občané dokáží rozhodovat se informovaně, a to i v politických volbách.</w:t>
      </w:r>
    </w:p>
    <w:p w:rsidR="00ED00AB" w:rsidRPr="00AA77C7" w:rsidRDefault="00ED00AB" w:rsidP="00ED00AB">
      <w:pPr>
        <w:rPr>
          <w:rFonts w:eastAsia="Arial Unicode MS"/>
        </w:rPr>
      </w:pPr>
      <w:r w:rsidRPr="00AA77C7">
        <w:t>Tyto výzvy nadnárodní povahy vyžadují cílený evropský přístup, který by optimalizoval potenciál těchto odvětví přispíval k zaměstnanosti, růstu a sociálnímu začleňování, a to i v případě nejvíce znevýhodněných a těžko oslovitelných skupin. Jsou společné všem členským státům EU a mají přeshraniční rozměr. I když je činnost na vnitrostátní úrovni důležitá, jednotlivé členské státy samy o sobě nemají dostatečnou sílu, aby je mohly zcela vyřešit.</w:t>
      </w:r>
    </w:p>
    <w:p w:rsidR="009B2295" w:rsidRPr="00AA77C7" w:rsidRDefault="00ED00AB" w:rsidP="009B2295">
      <w:r w:rsidRPr="00AA77C7">
        <w:t>Cílem této iniciativy je navázat na výsledky programu Kreativní Evropa a zvýšit úsilí, aby bylo dosaženo cílů stanovených ve vztahu k vývoji politiky v poslední době. Nový program Kreativní Evropa chce kulturním a kreativním subjektům nabídnout příležitosti k rozvoji technologicky a umělecky inovativních evropských přeshraničních iniciativ za účelem výměny, společné tvorby, koprodukce a šíření evropských děl a jejich zpřístupnění širokému a rozmanitému publiku. Zintenzivní testování nových obchodních modelů, které tvůrcům umožní co nejlépe využívat digitální technologie pro tvorbu a rozvoj publika.</w:t>
      </w:r>
    </w:p>
    <w:p w:rsidR="00854263" w:rsidRPr="00AA77C7" w:rsidRDefault="009A6CEF" w:rsidP="009B2295">
      <w:r w:rsidRPr="00AA77C7">
        <w:t xml:space="preserve">Ve snaze čelit rostoucí konkurenci na mezinárodních trzích bude nový program podporovat přeshraniční partnerství a sítě, jakož i nové modely spolupráce, aby povzbudil rozšiřování evropských kulturních a kreativních odvětví. Tím se posílí postavení evropských subjektů na evropských a světových trzích, například podporou jejich mezinárodní přítomnosti, marketingu a budování značky. Program bude investovat do rozvoje kreativních schopností umělců a profesionálů z těchto odvětví tím, že jim umožní spolupracovat přes hranice. Bude podporovat iniciativy, které většímu počtu lidí umožní zapojit se do kultury, a přispívat tak k sociálně inkluzivnější evropské společnosti. </w:t>
      </w:r>
    </w:p>
    <w:p w:rsidR="00854263" w:rsidRPr="00AA77C7" w:rsidRDefault="00AC2C3C" w:rsidP="009B2295">
      <w:r w:rsidRPr="00AA77C7">
        <w:t>Další příležitosti pro propagaci evropských děl přinese revidovaná směrnice o audiovizuálních mediálních službách, ale na podporu dostupnosti evropských koprodukčních děl v Evropě i mimo ni jsou zapotřebí i doprovodná opatření. Nový program bude řešit problémy, kterým čelí audiovizuální odvětví, – včetně přechodu na digitální vysílání – podporou spolupráce v rámci celého hodnotového řetězce – od počátečních fází produkce až po distribuci a představení. Bude konkrétně podporovat projekty, které mají vysoký potenciál k oběhu a globální tržní přístup a přístup k obsahu na všech platformách.</w:t>
      </w:r>
    </w:p>
    <w:p w:rsidR="00854263" w:rsidRPr="00AA77C7" w:rsidRDefault="00854263" w:rsidP="009B2295">
      <w:r w:rsidRPr="00AA77C7">
        <w:t>Nový program bude rovněž podporovat opatření zaměřená na posílení evropských zpravodajských médií, novinářské svobody, rozmanitosti a pluralismu novinového obsahu, jakož i kritický přístup k mediálnímu obsahu díky mediální gramotnosti.</w:t>
      </w:r>
    </w:p>
    <w:p w:rsidR="009B2295" w:rsidRPr="00AA77C7" w:rsidRDefault="008E0004" w:rsidP="008E0004">
      <w:pPr>
        <w:pBdr>
          <w:top w:val="nil"/>
          <w:left w:val="nil"/>
          <w:bottom w:val="nil"/>
          <w:right w:val="nil"/>
          <w:between w:val="nil"/>
          <w:bar w:val="nil"/>
        </w:pBdr>
        <w:spacing w:before="0" w:after="240"/>
        <w:rPr>
          <w:rFonts w:eastAsia="Arial Unicode MS"/>
        </w:rPr>
      </w:pPr>
      <w:r w:rsidRPr="00AA77C7">
        <w:t>Tento návrh stanoví použitelnost ode dne 1. ledna 2021 a je předkládán Unii 27 členských států v souladu s oznámením Spojeného království o jeho záměru vystoupit z Evropské unie a Euratomu na základě článku 50 Smlouvy o Evropské unii, které Evropská rada obdržela dne 29. března 2017.</w:t>
      </w:r>
    </w:p>
    <w:p w:rsidR="00C5603D" w:rsidRPr="00AA77C7" w:rsidRDefault="00710638" w:rsidP="008F26E4">
      <w:pPr>
        <w:pStyle w:val="ManualHeading2"/>
        <w:rPr>
          <w:rFonts w:eastAsia="Arial Unicode MS"/>
          <w:u w:color="000000"/>
          <w:bdr w:val="nil"/>
        </w:rPr>
      </w:pPr>
      <w:r w:rsidRPr="00AA77C7">
        <w:lastRenderedPageBreak/>
        <w:tab/>
        <w:t>Soulad s platnými předpisy v této oblasti politiky</w:t>
      </w:r>
    </w:p>
    <w:p w:rsidR="00BE57CE" w:rsidRPr="00AA77C7" w:rsidRDefault="002F40AB" w:rsidP="00BE57CE">
      <w:pPr>
        <w:spacing w:after="240"/>
        <w:rPr>
          <w:rFonts w:eastAsia="Calibri"/>
        </w:rPr>
      </w:pPr>
      <w:r w:rsidRPr="00AA77C7">
        <w:t>Tato iniciativa přispívá k představě – vyjádřené 27 členskými státy a orgány EU v březnu 2017 v Římě – o Unii, „</w:t>
      </w:r>
      <w:r w:rsidRPr="00AA77C7">
        <w:rPr>
          <w:i/>
        </w:rPr>
        <w:t>která občanům skýtá nové příležitosti ke kulturnímu a společenskému rozvoji a hospodářskému růstu [...]; která chrání naše kulturní dědictví a propaguje kulturní rozmanitost.“</w:t>
      </w:r>
      <w:r w:rsidRPr="00AA77C7">
        <w:rPr>
          <w:rStyle w:val="Znakapoznpodarou"/>
        </w:rPr>
        <w:footnoteReference w:id="2"/>
      </w:r>
      <w:r w:rsidRPr="00AA77C7">
        <w:rPr>
          <w:i/>
        </w:rPr>
        <w:t xml:space="preserve"> </w:t>
      </w:r>
      <w:r w:rsidRPr="00AA77C7">
        <w:t>Tuto představu potvrdil v listopadu 2017 summit vedoucích představitelů v Göteborgu a v prosinci 2017 pak Evropská rada, která zdůraznila, že rok 2018 jako Evropský rok kulturního dědictví</w:t>
      </w:r>
      <w:bookmarkStart w:id="1" w:name="_Ref508719289"/>
      <w:r w:rsidRPr="00AA77C7">
        <w:rPr>
          <w:rStyle w:val="Znakapoznpodarou"/>
        </w:rPr>
        <w:footnoteReference w:id="3"/>
      </w:r>
      <w:bookmarkEnd w:id="1"/>
      <w:r w:rsidRPr="00AA77C7">
        <w:t xml:space="preserve"> je zásadní příležitostí ke zvýšení informovanosti o společenském a hospodářském významu kultury a kulturního dědictví.</w:t>
      </w:r>
    </w:p>
    <w:p w:rsidR="00BE57CE" w:rsidRPr="00AA77C7" w:rsidRDefault="00AC2C3C" w:rsidP="00BE57CE">
      <w:pPr>
        <w:spacing w:after="240"/>
        <w:rPr>
          <w:rFonts w:eastAsia="Calibri"/>
          <w:szCs w:val="24"/>
        </w:rPr>
      </w:pPr>
      <w:r w:rsidRPr="00AA77C7">
        <w:t>Je v souladu se sdělením Posilování evropské identity prostřednictvím vzdělávání a kultury</w:t>
      </w:r>
      <w:r w:rsidRPr="00AA77C7">
        <w:rPr>
          <w:rStyle w:val="Znakapoznpodarou"/>
        </w:rPr>
        <w:footnoteReference w:id="4"/>
      </w:r>
      <w:r w:rsidRPr="00AA77C7">
        <w:t>, ve kterém Komise uvedla, že je „</w:t>
      </w:r>
      <w:r w:rsidRPr="00AA77C7">
        <w:rPr>
          <w:i/>
        </w:rPr>
        <w:t>ve společném zájmu všech členských států maximálně využít potenciál vzdělávání a kultury jakožto prostředků pro vytvoření pracovních příležitostí, posílení hospodářského růstu, sociální spravedlnosti a aktivního občanství a poznání evropské identity v celé její rozmanitosti</w:t>
      </w:r>
      <w:r w:rsidRPr="00AA77C7">
        <w:t>“.</w:t>
      </w:r>
    </w:p>
    <w:p w:rsidR="00BE57CE" w:rsidRPr="00AA77C7" w:rsidRDefault="00F85F41" w:rsidP="00E02EB4">
      <w:pPr>
        <w:pBdr>
          <w:top w:val="nil"/>
          <w:left w:val="nil"/>
          <w:bottom w:val="nil"/>
          <w:right w:val="nil"/>
          <w:between w:val="nil"/>
          <w:bar w:val="nil"/>
        </w:pBdr>
        <w:spacing w:before="0" w:after="240"/>
        <w:rPr>
          <w:rFonts w:eastAsia="Calibri"/>
          <w:szCs w:val="24"/>
        </w:rPr>
      </w:pPr>
      <w:r w:rsidRPr="00AA77C7">
        <w:t>Tato iniciativa je v souladu se sdělením Komise z roku 2018 o novém evropském programu pro kulturu</w:t>
      </w:r>
      <w:r w:rsidRPr="00AA77C7">
        <w:rPr>
          <w:rStyle w:val="Znakapoznpodarou"/>
        </w:rPr>
        <w:footnoteReference w:id="5"/>
      </w:r>
      <w:r w:rsidRPr="00AA77C7">
        <w:t>, společném sdělení ESVČ a Komise z roku 2016 „Směrem ke strategii EU pro mezinárodní kulturní vztahy“</w:t>
      </w:r>
      <w:r w:rsidRPr="00AA77C7">
        <w:rPr>
          <w:rStyle w:val="Znakapoznpodarou"/>
        </w:rPr>
        <w:footnoteReference w:id="6"/>
      </w:r>
      <w:r w:rsidRPr="00AA77C7">
        <w:t xml:space="preserve"> a sdělením Komise z roku 2014 „Na cestě k integrovanému přístupu ke kulturnímu dědictví pro Evropu“</w:t>
      </w:r>
      <w:r w:rsidRPr="00AA77C7">
        <w:rPr>
          <w:rStyle w:val="Znakapoznpodarou"/>
        </w:rPr>
        <w:footnoteReference w:id="7"/>
      </w:r>
      <w:r w:rsidRPr="00AA77C7">
        <w:t>, která všechna argumentují pro silnější postavení kultury v dalším společenském, hospodářském a mezinárodním rozvoji naší Unie.</w:t>
      </w:r>
    </w:p>
    <w:p w:rsidR="003E436C" w:rsidRPr="00AA77C7" w:rsidRDefault="003E436C" w:rsidP="00E02EB4">
      <w:pPr>
        <w:pBdr>
          <w:top w:val="nil"/>
          <w:left w:val="nil"/>
          <w:bottom w:val="nil"/>
          <w:right w:val="nil"/>
          <w:between w:val="nil"/>
          <w:bar w:val="nil"/>
        </w:pBdr>
        <w:spacing w:before="0" w:after="240"/>
        <w:rPr>
          <w:rFonts w:eastAsia="Calibri"/>
          <w:szCs w:val="24"/>
        </w:rPr>
      </w:pPr>
      <w:r w:rsidRPr="00AA77C7">
        <w:t>Tato iniciativa je v souladu se sdělením Komise z roku 2018 „Boj proti dezinformacím na internetu: Evropský přístup“</w:t>
      </w:r>
      <w:r w:rsidRPr="00AA77C7">
        <w:rPr>
          <w:rStyle w:val="Znakapoznpodarou"/>
        </w:rPr>
        <w:footnoteReference w:id="8"/>
      </w:r>
      <w:r w:rsidRPr="00AA77C7">
        <w:t>, zejména pro svůj zastřešující cíl prosazovat „diverzitu informací, aby se občané mohli informovaně rozhodovat na základě kritického myšlení, prostřednictvím podpory kvalitní žurnalistiky, mediální gramotnosti a obnovení rovnováhy mezi tvůrci a distributory informací“.</w:t>
      </w:r>
    </w:p>
    <w:p w:rsidR="00F010DF" w:rsidRPr="00AA77C7" w:rsidRDefault="00F010DF" w:rsidP="00F010DF">
      <w:pPr>
        <w:spacing w:before="0" w:after="240"/>
        <w:rPr>
          <w:rFonts w:eastAsia="Arial Unicode MS"/>
        </w:rPr>
      </w:pPr>
      <w:r w:rsidRPr="00AA77C7">
        <w:t>V neposlední řadě tato iniciativa zohledňuje obnovenou strategii průmyslové politiky EU přijatou v září 2017</w:t>
      </w:r>
      <w:r w:rsidRPr="00AA77C7">
        <w:rPr>
          <w:rStyle w:val="Znakapoznpodarou"/>
        </w:rPr>
        <w:footnoteReference w:id="9"/>
      </w:r>
      <w:r w:rsidRPr="00AA77C7">
        <w:t>, která vyzdvihla nutnost zmodernizovat evropský průmysl pro digitální věk podporou inovací a kreativity, podporou rozvoje dovedností a poskytováním příznivého prostředí pro podnikání a rozšiřování dynamických malých a středních podniků.</w:t>
      </w:r>
    </w:p>
    <w:p w:rsidR="00F85F41" w:rsidRPr="00AA77C7" w:rsidRDefault="00F85F41" w:rsidP="00F85F41">
      <w:pPr>
        <w:pBdr>
          <w:top w:val="nil"/>
          <w:left w:val="nil"/>
          <w:bottom w:val="nil"/>
          <w:right w:val="nil"/>
          <w:between w:val="nil"/>
          <w:bar w:val="nil"/>
        </w:pBdr>
        <w:spacing w:before="0" w:after="240"/>
        <w:rPr>
          <w:rFonts w:eastAsia="Arial Unicode MS"/>
        </w:rPr>
      </w:pPr>
      <w:r w:rsidRPr="00AA77C7">
        <w:t>Pokud jde zejména o audiovizuální odvětví, bude složka MEDIA doplňovat politiky jednotného digitálního trhu EU. Mezi ty patří zejména návrhy na modernizaci rámce autorského práva, jakož i revidovaná směrnice o audiovizuálních mediálních službách. Ta posílí schopnost evropských audiovizuálních subjektů financovat, produkovat a šířit díla, která se dokáží dostatečně zviditelnit na různých dostupných médiích (např. v televizi, v kině nebo na platformách videa na vyžádání) a jsou atraktivní pro diváky na stále otevřenějším a konkurenčnějším trhu v Evropě i mimo ni. Je třeba navýšit podporu, aby bylo možné reagovat na nejnovější vývoj na trhu, včetně silnějšího postavení globálních distribučních platforem oproti národním subjektům televizního a rozhlasového vysílání, kteří tradičně investují do výroby evropských děl.</w:t>
      </w:r>
    </w:p>
    <w:p w:rsidR="00E0757F" w:rsidRPr="00AA77C7" w:rsidRDefault="00E0757F" w:rsidP="00E0757F">
      <w:pPr>
        <w:pBdr>
          <w:top w:val="nil"/>
          <w:left w:val="nil"/>
          <w:bottom w:val="nil"/>
          <w:right w:val="nil"/>
          <w:between w:val="nil"/>
          <w:bar w:val="nil"/>
        </w:pBdr>
        <w:spacing w:before="0" w:after="240"/>
        <w:rPr>
          <w:rFonts w:eastAsia="Arial Unicode MS"/>
        </w:rPr>
      </w:pPr>
      <w:r w:rsidRPr="00AA77C7">
        <w:lastRenderedPageBreak/>
        <w:t>Komisí navržený víceletý finanční rámec na období 2021–2027 stanoví ambicióznější cíl pro začleňování otázky klimatu do všech programů EU s obecným cílem, aby 25 % všech výdajů EU přispívalo k cílům v oblasti klimatu. Příspěvek tohoto programu k dosažení tohoto obecného cíle bude sledován prostřednictvím systému klimatických ukazatelů EU na vhodné úrovni rozčlenění, včetně použití přesnějších metodik, jsou-li k dispozici. Komise bude i nadále každoročně předkládat tyto informace z hlediska prostředků na závazky v souvislosti s každoročním návrhem rozpočtu.</w:t>
      </w:r>
    </w:p>
    <w:p w:rsidR="00E0757F" w:rsidRPr="00AA77C7" w:rsidRDefault="00E0757F" w:rsidP="00E0757F">
      <w:pPr>
        <w:pBdr>
          <w:top w:val="nil"/>
          <w:left w:val="nil"/>
          <w:bottom w:val="nil"/>
          <w:right w:val="nil"/>
          <w:between w:val="nil"/>
          <w:bar w:val="nil"/>
        </w:pBdr>
        <w:spacing w:before="0" w:after="240"/>
        <w:rPr>
          <w:rFonts w:eastAsia="Arial Unicode MS"/>
        </w:rPr>
      </w:pPr>
      <w:r w:rsidRPr="00AA77C7">
        <w:t>S cílem podpořit plné využití potenciálu programu k plnění cílů v oblasti klimatu bude Komise usilovat o identifikaci příslušných opatření během přípravy, provádění, přezkumu a hodnocení programu.</w:t>
      </w:r>
    </w:p>
    <w:p w:rsidR="00F85F41" w:rsidRPr="00AA77C7" w:rsidRDefault="00CD0EBE" w:rsidP="00F85F41">
      <w:pPr>
        <w:pBdr>
          <w:top w:val="nil"/>
          <w:left w:val="nil"/>
          <w:bottom w:val="nil"/>
          <w:right w:val="nil"/>
          <w:between w:val="nil"/>
          <w:bar w:val="nil"/>
        </w:pBdr>
        <w:spacing w:before="0" w:after="240"/>
        <w:rPr>
          <w:rFonts w:eastAsia="Arial Unicode MS"/>
        </w:rPr>
      </w:pPr>
      <w:r w:rsidRPr="00AA77C7">
        <w:t>Program bude podporovat rovnost žen a mužů a přispívat k dosažení vyváženějšího zastoupení žen a mužů v kulturních a kreativních odvětvích.</w:t>
      </w:r>
    </w:p>
    <w:p w:rsidR="00593982" w:rsidRPr="00AA77C7" w:rsidRDefault="00710638" w:rsidP="00593982">
      <w:pPr>
        <w:pStyle w:val="ManualHeading2"/>
        <w:rPr>
          <w:rFonts w:eastAsia="Arial Unicode MS"/>
        </w:rPr>
      </w:pPr>
      <w:r w:rsidRPr="00AA77C7">
        <w:tab/>
        <w:t>Soulad s ostatními politikami a programy Unie</w:t>
      </w:r>
    </w:p>
    <w:p w:rsidR="004B01AA" w:rsidRPr="00AA77C7" w:rsidRDefault="00593982" w:rsidP="00593982">
      <w:pPr>
        <w:pBdr>
          <w:top w:val="nil"/>
          <w:left w:val="nil"/>
          <w:bottom w:val="nil"/>
          <w:right w:val="nil"/>
          <w:between w:val="nil"/>
          <w:bar w:val="nil"/>
        </w:pBdr>
        <w:spacing w:before="0" w:after="240"/>
      </w:pPr>
      <w:r w:rsidRPr="00AA77C7">
        <w:t>Program bude v souladu s dalšími nástroji Unie – které bude také doplňovat –, zejména s programem Erasmus+, fondy, na něž se vztahuje nařízení (...) [nařízení o společných ustanoveních], včetně Evropského sociálního fondu a Evropského fondu pro regionální rozvoj, programem Horizont Evropa, jakož i nástroji financování vnější činnosti. Na základě ustanovení Smlouvy o začleňování a nového politického přístupu založeného na kulturním prolínání, jak je uvedeno v nové Evropské agendě pro kulturu, se program snaží o rozvoj synergií s následujícími oblastmi politiky.</w:t>
      </w:r>
    </w:p>
    <w:p w:rsidR="001E1666" w:rsidRPr="00AA77C7" w:rsidRDefault="00727597" w:rsidP="00727597">
      <w:pPr>
        <w:pStyle w:val="Point0"/>
      </w:pPr>
      <w:bookmarkStart w:id="2" w:name="_Toc509424702"/>
      <w:r>
        <w:t>1)</w:t>
      </w:r>
      <w:r>
        <w:tab/>
      </w:r>
      <w:r w:rsidR="00EB411B" w:rsidRPr="00AA77C7">
        <w:t xml:space="preserve">Synergie s politikami v oblasti </w:t>
      </w:r>
      <w:r w:rsidR="00EB411B" w:rsidRPr="00AA77C7">
        <w:rPr>
          <w:b/>
        </w:rPr>
        <w:t>vzdělávání a mládeže</w:t>
      </w:r>
    </w:p>
    <w:p w:rsidR="00CD0EBE" w:rsidRPr="00AA77C7" w:rsidRDefault="00B62811" w:rsidP="006C237E">
      <w:r w:rsidRPr="00AA77C7">
        <w:t>Budoucí program Erasmus bude důležitým doplňkem k programu Kreativní Evropa. Spolupráce mezi institucemi a organizacemi činnými v oblasti vzdělávání, odborné přípravy a mládeže, kterou podporuje program Erasmus+, pomůže lidem získat znalosti, dovednosti a kompetence, které jsou nezbytné k řešení sociálních a ekonomických problémů i k naplnění jejich potenciálu pro inovace, kreativitu a podnikání, zejména v digitální ekonomice. Hlavní vazbu mezi oběma programy představují činnosti spojené s posilováním všech aspektů kreativity ve vzdělávání a se zvyšováním individuálních klíčových schopností. Kromě toho bude v rámci Evropského sboru solidarity více příležitostí přilákat mladé lidi, kteří chtějí přispět k obnově nebo ochraně kulturního dědictví.</w:t>
      </w:r>
    </w:p>
    <w:p w:rsidR="00CD0EBE" w:rsidRPr="00AA77C7" w:rsidRDefault="00727597" w:rsidP="00727597">
      <w:pPr>
        <w:pStyle w:val="Point0"/>
      </w:pPr>
      <w:r>
        <w:t>2)</w:t>
      </w:r>
      <w:r>
        <w:tab/>
      </w:r>
      <w:r w:rsidR="00CD0EBE" w:rsidRPr="00AA77C7">
        <w:t xml:space="preserve">Synergie s programem </w:t>
      </w:r>
      <w:r w:rsidR="00CD0EBE" w:rsidRPr="00AA77C7">
        <w:rPr>
          <w:b/>
        </w:rPr>
        <w:t>Práva a hodnoty</w:t>
      </w:r>
    </w:p>
    <w:p w:rsidR="00B62811" w:rsidRPr="00AA77C7" w:rsidRDefault="00061771" w:rsidP="00CD0EBE">
      <w:r w:rsidRPr="00AA77C7">
        <w:t>Mezi programem Kreativní Evropa a programem Práva a hodnoty existují silné vazby – zejména v oblasti plurality médií, evropské identity, hodnot a kulturního dědictví –, které prosazováním a ochranou práv, hodnot a rovnosti a vytvářením příležitostí pro angažování se, účast a historické povědomí posilují postavení občanů.</w:t>
      </w:r>
    </w:p>
    <w:p w:rsidR="00EB411B" w:rsidRPr="00AA77C7" w:rsidRDefault="00636586" w:rsidP="00636586">
      <w:pPr>
        <w:pStyle w:val="Point0"/>
      </w:pPr>
      <w:r>
        <w:t>3)</w:t>
      </w:r>
      <w:r>
        <w:tab/>
      </w:r>
      <w:r w:rsidR="001E1666" w:rsidRPr="00AA77C7">
        <w:t xml:space="preserve">Synergie s politikou </w:t>
      </w:r>
      <w:r w:rsidR="001E1666" w:rsidRPr="00AA77C7">
        <w:rPr>
          <w:b/>
        </w:rPr>
        <w:t>zaměstnanosti a sociální</w:t>
      </w:r>
      <w:r w:rsidR="001E1666" w:rsidRPr="00AA77C7">
        <w:t xml:space="preserve"> politikou</w:t>
      </w:r>
      <w:bookmarkEnd w:id="2"/>
    </w:p>
    <w:p w:rsidR="00EB411B" w:rsidRPr="00AA77C7" w:rsidRDefault="00EB411B" w:rsidP="00EB411B">
      <w:r w:rsidRPr="00AA77C7">
        <w:t>Budoucí Evropský sociální fond+ bude hlavním stavebním kamenem klastru „Investice do lidí, sociální soudržnosti a hodnot“. Bude občany podporovat investicemi do lidského kapitálu, podporou zaměstnanosti (mladých lidí), sociálních inovací, osvojování si základních digitálních dovedností a integrace migrantů a podporou nejchudších osob (sociální začleňování). V tomto smyslu existují silné vazby na cíle programu Kreativní Evropa.  Kulturní a jazyková rozmanitost – kterou se program Kreativní Evropa snaží posilovat, například podporou oběhu evropských kulturních a audiovizuálních děl přes hranice – je důležitým aspektem inkluzivních společností, neboť přispívají k mezikulturnímu dialogu. Posilováním konkurenceschopnosti kulturních a kreativních odvětví program navíc přispívá k vytváření pracovních míst v těchto odvětvích.</w:t>
      </w:r>
    </w:p>
    <w:p w:rsidR="00762DFB" w:rsidRPr="00AA77C7" w:rsidRDefault="00636586" w:rsidP="00636586">
      <w:pPr>
        <w:pStyle w:val="Point0"/>
      </w:pPr>
      <w:r>
        <w:t>4)</w:t>
      </w:r>
      <w:r>
        <w:tab/>
      </w:r>
      <w:r w:rsidR="00762DFB" w:rsidRPr="00AA77C7">
        <w:t xml:space="preserve">Synergie s politikami rozvoje </w:t>
      </w:r>
      <w:r w:rsidR="00762DFB" w:rsidRPr="00AA77C7">
        <w:rPr>
          <w:b/>
        </w:rPr>
        <w:t>regionů, měst a venkova</w:t>
      </w:r>
    </w:p>
    <w:p w:rsidR="00762DFB" w:rsidRPr="00AA77C7" w:rsidRDefault="00762DFB" w:rsidP="00F81C70">
      <w:pPr>
        <w:autoSpaceDE w:val="0"/>
        <w:autoSpaceDN w:val="0"/>
        <w:adjustRightInd w:val="0"/>
        <w:rPr>
          <w:szCs w:val="24"/>
        </w:rPr>
      </w:pPr>
      <w:r w:rsidRPr="00AA77C7">
        <w:lastRenderedPageBreak/>
        <w:t>Politiky EU v oblasti rozvoje regionů, měst a venkova mají zásadní význam pro podporu obnovy kulturního dědictví a pro podporu kulturních a kreativních odvětví. Budou zajištěny potenciální synergie k posílení doplňkovosti mezi těmito nástroji a programem Kreativní Evropa, které mohou podpořit vzájemné učení, pokud jde o smysluplné dlouhodobé kulturní investiční plány pro kreativní odvětví, cestovní ruch, sociální začleňování, obnovu kulturního dědictví na základě kvalitních standardů renovace kulturního dědictví a zvýšení jejich přínosu k cílům rozvoje regionů a měst a k vlastní finanční udržitelnosti kulturních projektů.</w:t>
      </w:r>
    </w:p>
    <w:p w:rsidR="00D37FD3" w:rsidRPr="00AA77C7" w:rsidRDefault="00636586" w:rsidP="00636586">
      <w:pPr>
        <w:pStyle w:val="Point0"/>
      </w:pPr>
      <w:bookmarkStart w:id="3" w:name="_Toc509424704"/>
      <w:r>
        <w:t>5)</w:t>
      </w:r>
      <w:r>
        <w:tab/>
      </w:r>
      <w:r w:rsidR="00D37FD3" w:rsidRPr="00AA77C7">
        <w:t>Synergie s jednotným trhem</w:t>
      </w:r>
      <w:bookmarkEnd w:id="3"/>
    </w:p>
    <w:p w:rsidR="00C5603D" w:rsidRPr="00AA77C7" w:rsidRDefault="00F010DF" w:rsidP="00E456C9">
      <w:pPr>
        <w:pBdr>
          <w:top w:val="nil"/>
          <w:left w:val="nil"/>
          <w:bottom w:val="nil"/>
          <w:right w:val="nil"/>
          <w:between w:val="nil"/>
          <w:bar w:val="nil"/>
        </w:pBdr>
        <w:spacing w:before="0" w:after="240"/>
      </w:pPr>
      <w:r w:rsidRPr="00AA77C7">
        <w:t>Program Kreativní Evropa doplní opatření financovaná z budoucího programu pro jednotný trh, pokud jde o aspekty posílení postavení občanů a podpory kreativních talentů v příslušných odvětvích. Synergie lze nalézt i u odvětví cestovního ruchu, který má kulturní rozměr a lze jej vnímat jako způsob, jak zlepšit vzájemné porozumění mezi lidmi. Program Kreativní Evropa zaměří své případné intervence na kreativitu a kulturní prvky určitých kreativních odvětví (jako je design a móda) tím, že se soustředí na propagaci nebo rozvoj dovedností, přeshraniční spolupráci a mobilitu. Bude také zajištěna doplňkovost s opatřeními na podporu odvětví cestovního ruchu.</w:t>
      </w:r>
    </w:p>
    <w:p w:rsidR="008B572A" w:rsidRPr="00AA77C7" w:rsidRDefault="00636586" w:rsidP="00636586">
      <w:pPr>
        <w:pStyle w:val="Point0"/>
        <w:rPr>
          <w:rFonts w:eastAsiaTheme="majorEastAsia"/>
        </w:rPr>
      </w:pPr>
      <w:bookmarkStart w:id="4" w:name="_Toc509424705"/>
      <w:r>
        <w:t>6)</w:t>
      </w:r>
      <w:r>
        <w:tab/>
      </w:r>
      <w:r w:rsidR="008B572A" w:rsidRPr="00AA77C7">
        <w:t xml:space="preserve">Synergie s programem </w:t>
      </w:r>
      <w:bookmarkEnd w:id="4"/>
      <w:r w:rsidR="008B572A" w:rsidRPr="00AA77C7">
        <w:rPr>
          <w:b/>
        </w:rPr>
        <w:t>Digitální Evropa</w:t>
      </w:r>
    </w:p>
    <w:p w:rsidR="008B572A" w:rsidRPr="00AA77C7" w:rsidRDefault="008B572A" w:rsidP="00E456C9">
      <w:r w:rsidRPr="00AA77C7">
        <w:t>V rámci programu Digitální Evropa zajistí dva vedoucí projekty pokračování zaváděcích činností souvisejících se strategií #Digital4Culture. Vedoucí projekt digitální transformace odvětví kulturního dědictví bude i nadále podporovat evropskou iniciativu zahájenou během Evropského roku kulturního dědictví 2018. Ta část programu, která se zaměřuje na digitální dovednosti, je synergická s tématy, jako je mediální gramotnost a filmové vzdělávání.</w:t>
      </w:r>
    </w:p>
    <w:p w:rsidR="00EB5AA0" w:rsidRPr="00AA77C7" w:rsidRDefault="00636586" w:rsidP="00636586">
      <w:pPr>
        <w:pStyle w:val="Point0"/>
      </w:pPr>
      <w:r>
        <w:t>7)</w:t>
      </w:r>
      <w:r>
        <w:tab/>
      </w:r>
      <w:r w:rsidR="00AD5B7D" w:rsidRPr="00AA77C7">
        <w:t xml:space="preserve">Synergie s programem EU </w:t>
      </w:r>
      <w:r w:rsidR="00AD5B7D" w:rsidRPr="00AA77C7">
        <w:rPr>
          <w:b/>
        </w:rPr>
        <w:t>Výzkum a inovace</w:t>
      </w:r>
    </w:p>
    <w:p w:rsidR="00BB66D6" w:rsidRPr="00AA77C7" w:rsidRDefault="00EB5AA0" w:rsidP="00D95CC4">
      <w:pPr>
        <w:autoSpaceDE w:val="0"/>
        <w:autoSpaceDN w:val="0"/>
        <w:adjustRightInd w:val="0"/>
        <w:spacing w:before="0" w:after="0"/>
      </w:pPr>
      <w:r w:rsidRPr="00AA77C7">
        <w:t xml:space="preserve">Sdílení zdrojů za účelem uplatňování nejnovějších technologií a stimulování nových vědeckých přístupů může významně zlepšit chápání, ochranu a šíření kulturního dědictví a v kulturním a kreativním odvětví obecně. Bude třeba posílit potenciální synergie, aby se zvýšila doplňkovost mezi těmito nástroji a programem Kreativní Evropa, aby kulturní a kreativní odvětví mohla plně těžit z pokroku evropského výzkumu. </w:t>
      </w:r>
    </w:p>
    <w:p w:rsidR="00045339" w:rsidRPr="00AA77C7" w:rsidRDefault="00045339" w:rsidP="00045339">
      <w:r w:rsidRPr="00AA77C7">
        <w:t>Klastr programu Horizont Evropa pro „inkluzivní, odolnou a bezpečnou společnost“ zahrnuje podporu výzkumných a inovačních činností pro rozvoj informačních a komunikačních technologií pro digitalizaci a uchovávání hmotného a nehmotného kulturního dědictví.</w:t>
      </w:r>
    </w:p>
    <w:p w:rsidR="00045339" w:rsidRPr="00AA77C7" w:rsidRDefault="00045339" w:rsidP="00C23957">
      <w:pPr>
        <w:pBdr>
          <w:top w:val="nil"/>
          <w:left w:val="nil"/>
          <w:bottom w:val="nil"/>
          <w:right w:val="nil"/>
          <w:between w:val="nil"/>
          <w:bar w:val="nil"/>
        </w:pBdr>
        <w:spacing w:before="0" w:after="240"/>
      </w:pPr>
      <w:r w:rsidRPr="00AA77C7">
        <w:t>Klastr „Digitální odvětví“ počítá v rámci oblasti intervencí „internet nové generace“ s výzkumnými činnostmi, které jsou úzce spjaté s kulturními a kreativními odvětvími – např. rozšířenou/virtuální realitou, imersivními prostředími, lidskými počítačovými rozhraními a novými (sociálními) médii. Má také pokračovat úsilí o dosažení přesahů mezi kreativními odvětvími, zejména uměním, a inovacemi v průmyslu a společnosti prostřednictvím programu S+T+ARTS.</w:t>
      </w:r>
    </w:p>
    <w:p w:rsidR="00BB66D6" w:rsidRPr="00AA77C7" w:rsidRDefault="00636586" w:rsidP="00636586">
      <w:pPr>
        <w:pStyle w:val="Point0"/>
      </w:pPr>
      <w:r>
        <w:t>8)</w:t>
      </w:r>
      <w:r>
        <w:tab/>
      </w:r>
      <w:r w:rsidR="00BB66D6" w:rsidRPr="00AA77C7">
        <w:t xml:space="preserve">Součinnost s politikami </w:t>
      </w:r>
      <w:r w:rsidR="00BB66D6" w:rsidRPr="00AA77C7">
        <w:rPr>
          <w:b/>
        </w:rPr>
        <w:t>vnější činnosti</w:t>
      </w:r>
    </w:p>
    <w:p w:rsidR="00BB66D6" w:rsidRPr="00AA77C7" w:rsidRDefault="00BB66D6" w:rsidP="00BB66D6">
      <w:pPr>
        <w:pBdr>
          <w:top w:val="nil"/>
          <w:left w:val="nil"/>
          <w:bottom w:val="nil"/>
          <w:right w:val="nil"/>
          <w:between w:val="nil"/>
          <w:bar w:val="nil"/>
        </w:pBdr>
        <w:spacing w:before="0" w:after="240"/>
        <w:rPr>
          <w:rFonts w:eastAsia="Arial Unicode MS"/>
        </w:rPr>
      </w:pPr>
      <w:r w:rsidRPr="00AA77C7">
        <w:t>Program Kreativní Evropa a opatření mezinárodní spolupráce financované prostřednictvím vnějších programů Unie se budou vzájemně doplňovat.</w:t>
      </w:r>
    </w:p>
    <w:p w:rsidR="00B311D3" w:rsidRPr="00AA77C7" w:rsidRDefault="00A6152F" w:rsidP="00B311D3">
      <w:pPr>
        <w:autoSpaceDE w:val="0"/>
        <w:autoSpaceDN w:val="0"/>
        <w:adjustRightInd w:val="0"/>
        <w:spacing w:before="0" w:after="0"/>
        <w:rPr>
          <w:rFonts w:eastAsia="Arial Unicode MS"/>
        </w:rPr>
      </w:pPr>
      <w:r w:rsidRPr="00AA77C7">
        <w:t>Složka KULTURA hodlá odzkoušet programy stínování a další výměnné iniciativy se třetími zeměmi v rámci iniciativy „Evropská hlavní města kultury“ nebo otevřít programy „Sítě a platformy“ či soutěž o kulturní ceny EU v omezené míře i zemím mimo EU, rozvíjet pobídky na podporu začleňování partnerů ze třetích zemí do projektů, které vedou organizace z EU, a podporovat propagační úsilí na strategicky důležitých trzích a festivalech mimo členské státy EU, pro něž v současnosti neexistuje žádný zvláštní rozpočet.</w:t>
      </w:r>
    </w:p>
    <w:p w:rsidR="00C5603D" w:rsidRPr="00AA77C7" w:rsidRDefault="00C5603D" w:rsidP="008F26E4">
      <w:pPr>
        <w:pStyle w:val="ManualHeading1"/>
      </w:pPr>
      <w:r w:rsidRPr="00AA77C7">
        <w:lastRenderedPageBreak/>
        <w:t>2.</w:t>
      </w:r>
      <w:r w:rsidRPr="00AA77C7">
        <w:tab/>
        <w:t>PRÁVNÍ ZÁKLAD, SUBSIDIARITA A PROPORCIONALITA</w:t>
      </w:r>
    </w:p>
    <w:p w:rsidR="00C5603D" w:rsidRPr="00AA77C7" w:rsidRDefault="00C5603D" w:rsidP="008F26E4">
      <w:pPr>
        <w:pStyle w:val="ManualHeading2"/>
        <w:rPr>
          <w:rFonts w:eastAsia="Arial Unicode MS"/>
          <w:u w:color="000000"/>
          <w:bdr w:val="nil"/>
        </w:rPr>
      </w:pPr>
      <w:r w:rsidRPr="00AA77C7">
        <w:tab/>
        <w:t>Právní základ</w:t>
      </w:r>
    </w:p>
    <w:p w:rsidR="00FE18A9" w:rsidRPr="00AA77C7" w:rsidRDefault="00FE18A9" w:rsidP="00C30C98">
      <w:pPr>
        <w:pBdr>
          <w:top w:val="nil"/>
          <w:left w:val="nil"/>
          <w:bottom w:val="nil"/>
          <w:right w:val="nil"/>
          <w:between w:val="nil"/>
          <w:bar w:val="nil"/>
        </w:pBdr>
        <w:spacing w:before="0" w:after="240"/>
        <w:rPr>
          <w:rFonts w:eastAsia="Arial Unicode MS"/>
        </w:rPr>
      </w:pPr>
      <w:r w:rsidRPr="00AA77C7">
        <w:t>Iniciativa bude založena na článcích 167 a 173 SFEU. Článek 167 SFEU stanoví pravomoci EU v oblasti kultury a vyžaduje, aby Evropská unie vyvíjela činnost, která přispívá k rozkvětu kultur členských států a přitom respektuje jejich národní a regionální různorodost a zároveň zdůrazňuje společné kulturní dědictví a která v případě potřeby podporuje a doplňuje činnost členských států v oblastech uvedených v dotčeném ustanovení. Podle článku 173 SFEU Unie a členské státy zajistí, aby existovaly podmínky nezbytné pro konkurenceschopnost průmyslu Unie, a to také prostřednictvím činnosti zaměřené na podporu vytváření prostředí příznivého pro rozvoj podnikání.</w:t>
      </w:r>
    </w:p>
    <w:p w:rsidR="00C5603D" w:rsidRPr="00AA77C7" w:rsidRDefault="00C5603D" w:rsidP="008F26E4">
      <w:pPr>
        <w:pStyle w:val="ManualHeading2"/>
        <w:rPr>
          <w:rFonts w:eastAsia="Arial Unicode MS"/>
          <w:u w:color="000000"/>
          <w:bdr w:val="nil"/>
        </w:rPr>
      </w:pPr>
      <w:r w:rsidRPr="00AA77C7">
        <w:tab/>
        <w:t xml:space="preserve">Subsidiarita (v případě nevýlučné pravomoci) </w:t>
      </w:r>
    </w:p>
    <w:p w:rsidR="00E2526A" w:rsidRPr="00AA77C7" w:rsidRDefault="00196402" w:rsidP="00E456C9">
      <w:r w:rsidRPr="00AA77C7">
        <w:t xml:space="preserve">Hlavní přidaná hodnota na úrovni EU spočívá v silném </w:t>
      </w:r>
      <w:r w:rsidR="00904B8E" w:rsidRPr="00AA77C7">
        <w:t>nadnárodním</w:t>
      </w:r>
      <w:r w:rsidRPr="00AA77C7">
        <w:t xml:space="preserve"> rozměru programu, jak již ostatně prokázal program Kreativní Evropa na období 2014–2020. Hodnocení v polovině období ukázalo, že cíle a priority programu byly celkově soudržné s cíli vnitrostátních politik a programů a doplňovaly je, a tedy že dodržely zásadu subsidiarity.</w:t>
      </w:r>
    </w:p>
    <w:p w:rsidR="00E2526A" w:rsidRPr="00AA77C7" w:rsidRDefault="00E2526A" w:rsidP="00E456C9">
      <w:r w:rsidRPr="00AA77C7">
        <w:t>Právě mnohostranná nadnárodní povaha programu Kreativní Evropa nabízí něco, s čím vnitrostátní financování snese srovnání jen zřídka, neboť to se zaměřuje spíše na činnost doma a jen v menší míře na spolupráci mezi dvěma zeměmi. Tohoto mnohostranného nadnárodního zaměření si vysoce cení jak zúčastněné strany, tak příjemci a vnímají je jako jedinečný prvek programu Kreativní Evropa.  Nadnárodní spolupráci v kulturních a kreativních odvětvích podporuje jen hrstka jiných existujících mezinárodních fondů, a to navíc v mnohem menší míře.</w:t>
      </w:r>
    </w:p>
    <w:p w:rsidR="00196402" w:rsidRPr="00AA77C7" w:rsidRDefault="00196402" w:rsidP="00E456C9">
      <w:pPr>
        <w:rPr>
          <w:sz w:val="22"/>
        </w:rPr>
      </w:pPr>
      <w:r w:rsidRPr="00AA77C7">
        <w:t>Prvky přidané hodnoty na úrovni EU, pokud jde o tento program, jsou tyto:</w:t>
      </w:r>
    </w:p>
    <w:p w:rsidR="00C73046" w:rsidRPr="00AA77C7" w:rsidRDefault="00C73046" w:rsidP="004F0427">
      <w:pPr>
        <w:pStyle w:val="Bullet0"/>
        <w:numPr>
          <w:ilvl w:val="0"/>
          <w:numId w:val="25"/>
        </w:numPr>
      </w:pPr>
      <w:r w:rsidRPr="00AA77C7">
        <w:t>přeshraniční oběh kulturních a kreativních děl, zejména audiovizuálních děl, což osloví širší a rozmanitější publikum v Unii i mimo ni a což reflektuje evropskou rozmanitost,</w:t>
      </w:r>
    </w:p>
    <w:p w:rsidR="00196402" w:rsidRPr="00AA77C7" w:rsidRDefault="00C73046" w:rsidP="00DD1EC4">
      <w:pPr>
        <w:pStyle w:val="Bullet0"/>
      </w:pPr>
      <w:r w:rsidRPr="00AA77C7">
        <w:t>úspory z rozsahu a kritické množství, které podpora EU dokáže zajistit, což vytváří pákový efekt na další finanční prostředky, reputační efekt pro příjemce programu zvyšuje případný zájem partnerů a finančních zprostředkovatelů a posiluje jejich důvěru v podporované projekty, což usnadňuje přístup k dalším finančním prostředkům; vytváření evropských sítí a přeshraničních partnerství, která představují hlavní a nejtrvalejší strukturní prvky programu Kreativní Evropa a podporují celkový potenciál subjektů,</w:t>
      </w:r>
    </w:p>
    <w:p w:rsidR="00196402" w:rsidRPr="00AA77C7" w:rsidRDefault="00196402" w:rsidP="001662DF">
      <w:pPr>
        <w:pStyle w:val="Bullet0"/>
      </w:pPr>
      <w:r w:rsidRPr="00AA77C7">
        <w:t>nadnárodní sítě také celkově zvyšují potenciál kulturních a kreativních subjektů a zejména těch, kteří pracují v úzce specializovaných oblastech a v členských státech, kde jsou takové schopnosti méně rozvinuté,</w:t>
      </w:r>
    </w:p>
    <w:p w:rsidR="008024AA" w:rsidRPr="00AA77C7" w:rsidRDefault="00233A7B" w:rsidP="001662DF">
      <w:pPr>
        <w:pStyle w:val="Bullet0"/>
      </w:pPr>
      <w:r w:rsidRPr="00AA77C7">
        <w:t>na výsledky zaměřená přeshraniční mobilita kulturních a kreativních subjektů vede k rozvoji dovedností a zvýšení kapacity odvětví,</w:t>
      </w:r>
    </w:p>
    <w:p w:rsidR="00196402" w:rsidRPr="00AA77C7" w:rsidRDefault="00196402" w:rsidP="00806ABF">
      <w:pPr>
        <w:pStyle w:val="Bullet0"/>
      </w:pPr>
      <w:r w:rsidRPr="00AA77C7">
        <w:t>zmírnění rizik pro kulturní a kreativní organizace, což jim umožňuje zapojit se do projektů s evropským rozměrem, a tím přispět k jejich celkové hospodářské síle,</w:t>
      </w:r>
    </w:p>
    <w:p w:rsidR="00A3611C" w:rsidRPr="00AA77C7" w:rsidRDefault="00FD2024" w:rsidP="001662DF">
      <w:pPr>
        <w:pStyle w:val="Bullet0"/>
        <w:rPr>
          <w:rFonts w:eastAsia="Arial Unicode MS"/>
          <w:szCs w:val="24"/>
          <w:bdr w:val="nil"/>
        </w:rPr>
      </w:pPr>
      <w:r w:rsidRPr="00AA77C7">
        <w:t>program má silné společenské zaměření; podporou kulturní a jazykové rozmanitosti, umělecké a tvůrčí svobody, jakož i rozvoje svobodného, pluralitního a rozmanitého mediálního prostředí přispívá k evropskému sociálnímu blahobytu a společné evropské identitě,</w:t>
      </w:r>
    </w:p>
    <w:p w:rsidR="00CE393D" w:rsidRPr="00AA77C7" w:rsidRDefault="00E13CF4" w:rsidP="00A3611C">
      <w:pPr>
        <w:pStyle w:val="Bullet0"/>
        <w:rPr>
          <w:rFonts w:eastAsia="Arial Unicode MS"/>
          <w:szCs w:val="24"/>
          <w:bdr w:val="nil"/>
        </w:rPr>
      </w:pPr>
      <w:r w:rsidRPr="00AA77C7">
        <w:t xml:space="preserve">zatímco podpora filmů na vnitrostátní úrovni se zaměřuje především na produkci děl, podpora EU intervenuje zejména v etapách před samotnou produkcí (odborná příprava, projektová příprava) a po ní (distribuce, propagace, uvedení), přičemž cílem je zajistit, aby evropská díla </w:t>
      </w:r>
      <w:r w:rsidRPr="00AA77C7">
        <w:lastRenderedPageBreak/>
        <w:t>lépe cirkulovala napříč hranicemi. Napomáhá tak volnému oběhu audiovizuálních mediálních služeb, který je zdokonalen směrnicí o audiovizuálních mediálních službách.</w:t>
      </w:r>
    </w:p>
    <w:p w:rsidR="00C5603D" w:rsidRPr="00AA77C7" w:rsidRDefault="00C5603D" w:rsidP="008F26E4">
      <w:pPr>
        <w:pStyle w:val="ManualHeading2"/>
        <w:rPr>
          <w:rFonts w:eastAsia="Arial Unicode MS"/>
          <w:u w:color="000000"/>
          <w:bdr w:val="nil"/>
        </w:rPr>
      </w:pPr>
      <w:r w:rsidRPr="00AA77C7">
        <w:tab/>
        <w:t>Proporcionalita</w:t>
      </w:r>
    </w:p>
    <w:p w:rsidR="00C5603D" w:rsidRPr="00AA77C7" w:rsidRDefault="008B572A" w:rsidP="008F26E4">
      <w:pPr>
        <w:pBdr>
          <w:top w:val="nil"/>
          <w:left w:val="nil"/>
          <w:bottom w:val="nil"/>
          <w:right w:val="nil"/>
          <w:between w:val="nil"/>
          <w:bar w:val="nil"/>
        </w:pBdr>
        <w:spacing w:before="0" w:after="240"/>
        <w:rPr>
          <w:rFonts w:eastAsia="Arial Unicode MS"/>
        </w:rPr>
      </w:pPr>
      <w:r w:rsidRPr="00AA77C7">
        <w:t>Návrh je v souladu se zásadou proporcionality, protože se omezuje na míru nezbytně nutnou k dosažení uvedeného cíle na evropské úrovni a nepřekračuje rámec toho, co je pro tento účel nezbytné.</w:t>
      </w:r>
    </w:p>
    <w:p w:rsidR="00C5603D" w:rsidRPr="00AA77C7" w:rsidRDefault="00C5603D" w:rsidP="008F26E4">
      <w:pPr>
        <w:pStyle w:val="ManualHeading2"/>
        <w:rPr>
          <w:rFonts w:eastAsia="Arial Unicode MS"/>
          <w:u w:color="000000"/>
          <w:bdr w:val="nil"/>
        </w:rPr>
      </w:pPr>
      <w:r w:rsidRPr="00AA77C7">
        <w:tab/>
        <w:t>Volba nástroje</w:t>
      </w:r>
    </w:p>
    <w:p w:rsidR="00C5603D" w:rsidRPr="00AA77C7" w:rsidRDefault="00C73046" w:rsidP="00C90F5C">
      <w:pPr>
        <w:pBdr>
          <w:top w:val="nil"/>
          <w:left w:val="nil"/>
          <w:bottom w:val="nil"/>
          <w:right w:val="nil"/>
          <w:between w:val="nil"/>
          <w:bar w:val="nil"/>
        </w:pBdr>
        <w:spacing w:before="0" w:after="240"/>
      </w:pPr>
      <w:r w:rsidRPr="00AA77C7">
        <w:t>Nový program Kreativní Evropa 2021–2027 navazuje na stávající program Kreativní Evropa (2014–2020), který v jednom rámci spojil dva nezávislé dílčí programy (MEDIA a Kultura). Bere v úvahu zvláštnosti těchto odlišných odvětví, jejich různé cílové skupiny a jejich specifické potřeby. To se týká zejména příležitostí ve společné meziodvětvové složce, která se zaměří na inovace a experimentování.</w:t>
      </w:r>
    </w:p>
    <w:p w:rsidR="00F85F41" w:rsidRPr="00AA77C7" w:rsidRDefault="00F85F41" w:rsidP="00C90F5C">
      <w:pPr>
        <w:pBdr>
          <w:top w:val="nil"/>
          <w:left w:val="nil"/>
          <w:bottom w:val="nil"/>
          <w:right w:val="nil"/>
          <w:between w:val="nil"/>
          <w:bar w:val="nil"/>
        </w:pBdr>
        <w:spacing w:before="0" w:after="240"/>
      </w:pPr>
      <w:r w:rsidRPr="00AA77C7">
        <w:t>Zachování zavedené značky Kreativní Evropa, včetně značky MEDIA, pomůže zajistit pokračující angažovanost, jakož i viditelnost podpory EU.</w:t>
      </w:r>
    </w:p>
    <w:p w:rsidR="00C5603D" w:rsidRPr="00AA77C7" w:rsidRDefault="00C5603D" w:rsidP="008F26E4">
      <w:pPr>
        <w:pStyle w:val="ManualHeading1"/>
      </w:pPr>
      <w:r w:rsidRPr="00AA77C7">
        <w:t>3.</w:t>
      </w:r>
      <w:r w:rsidRPr="00AA77C7">
        <w:tab/>
        <w:t>VÝSLEDKY ZPĚTNÝCH HODNOCENÍ, KONZULTACÍ SE ZÚČASTNĚNÝMI STRANAMI A POSOUZENÍ DOPADŮ</w:t>
      </w:r>
    </w:p>
    <w:p w:rsidR="00C5603D" w:rsidRPr="00AA77C7" w:rsidRDefault="00C5603D" w:rsidP="008F26E4">
      <w:pPr>
        <w:pStyle w:val="ManualHeading2"/>
        <w:rPr>
          <w:rFonts w:eastAsia="Arial Unicode MS"/>
          <w:u w:color="000000"/>
          <w:bdr w:val="nil"/>
        </w:rPr>
      </w:pPr>
      <w:r w:rsidRPr="00AA77C7">
        <w:tab/>
        <w:t>Zpětná hodnocení / kontroly účelnosti platných právních předpisů</w:t>
      </w:r>
    </w:p>
    <w:p w:rsidR="00CD0D89" w:rsidRPr="00AA77C7" w:rsidRDefault="00CD0D89" w:rsidP="0023630E">
      <w:r w:rsidRPr="00AA77C7">
        <w:t xml:space="preserve">Průběžné hodnocení programu Kreativní Evropa a hodnocení </w:t>
      </w:r>
      <w:r w:rsidRPr="00AA77C7">
        <w:rPr>
          <w:i/>
        </w:rPr>
        <w:t>ex post</w:t>
      </w:r>
      <w:r w:rsidRPr="00AA77C7">
        <w:t xml:space="preserve"> tří předchozích programů – Kultura, MEDIA 2007 a MEDIA Mundus – byla zadána Evropskou komisí v roce 2016 a dodána v období od května 2016 do srpna 2017. Hodnocení programu Kreativní Evropa a předchozích programů sledovala tyto cíle:</w:t>
      </w:r>
    </w:p>
    <w:p w:rsidR="00CD0D89" w:rsidRPr="00AA77C7" w:rsidRDefault="00CD0D89" w:rsidP="001662DF">
      <w:pPr>
        <w:pStyle w:val="Bullet0"/>
      </w:pPr>
      <w:r w:rsidRPr="00AA77C7">
        <w:t>posoudit význam, soudržnost, účinnost, efektivitu, udržitelnost a přidanou hodnotu na úrovni EU (dále jen hodnotící kritéria) programu Kreativní Evropa a předchozích programů,</w:t>
      </w:r>
    </w:p>
    <w:p w:rsidR="00CD0D89" w:rsidRPr="00AA77C7" w:rsidRDefault="00CD0D89" w:rsidP="001662DF">
      <w:pPr>
        <w:pStyle w:val="Bullet0"/>
      </w:pPr>
      <w:r w:rsidRPr="00AA77C7">
        <w:t>posoudit přínos programu Kreativní Evropa k inteligentnímu, udržitelnému a inkluzivnímu růstu, novým prioritám Komise a odvětvovým strategiím,</w:t>
      </w:r>
    </w:p>
    <w:p w:rsidR="00CD0D89" w:rsidRPr="00AA77C7" w:rsidRDefault="00CD0D89" w:rsidP="001662DF">
      <w:pPr>
        <w:pStyle w:val="Bullet0"/>
      </w:pPr>
      <w:r w:rsidRPr="00AA77C7">
        <w:t>posoudit dlouhodobé výsledky a dopad předchozích programů.</w:t>
      </w:r>
    </w:p>
    <w:p w:rsidR="00CD0D89" w:rsidRPr="00AA77C7" w:rsidRDefault="00CD0D89" w:rsidP="008F26E4">
      <w:pPr>
        <w:pBdr>
          <w:top w:val="nil"/>
          <w:left w:val="nil"/>
          <w:bottom w:val="nil"/>
          <w:right w:val="nil"/>
          <w:between w:val="nil"/>
          <w:bar w:val="nil"/>
        </w:pBdr>
        <w:spacing w:before="0" w:after="240"/>
      </w:pPr>
      <w:r w:rsidRPr="00AA77C7">
        <w:t>Hodnocením bylo zjištěno, že program Kreativní Evropa řeší jak současné, tak nové potřeby kulturních a kreativních odvětví. S adekvátní podporou programu jsou příjemci podpory z kulturních a tvůrčích odvětví v celé Evropě schopni reagovat na digitální změnu a předvádět svá díla mezinárodně v duchu kulturní rozmanitosti, zejména prostřednictvím inovací a rozvoje nových obchodních modelů, které zvyšují jejich konkurenceschopnost.</w:t>
      </w:r>
    </w:p>
    <w:p w:rsidR="00CD0D89" w:rsidRPr="00AA77C7" w:rsidRDefault="00CD0D89" w:rsidP="008F26E4">
      <w:pPr>
        <w:pBdr>
          <w:top w:val="nil"/>
          <w:left w:val="nil"/>
          <w:bottom w:val="nil"/>
          <w:right w:val="nil"/>
          <w:between w:val="nil"/>
          <w:bar w:val="nil"/>
        </w:pBdr>
        <w:spacing w:before="0" w:after="240"/>
      </w:pPr>
      <w:r w:rsidRPr="00AA77C7">
        <w:t>Program Kreativní Evropa je také do velké míry v souladu s ostatními prioritami EU, finančními a podpůrnými mechanismy, které jsou relevantní pro kulturní a kreativní odvětví, včetně příležitostí specifických pro odvětví i obecné finanční, podnikatelské a ekonomické podpory pro malé a střední podniky.</w:t>
      </w:r>
    </w:p>
    <w:p w:rsidR="00CD0D89" w:rsidRPr="00AA77C7" w:rsidRDefault="00CD0D89" w:rsidP="008F26E4">
      <w:pPr>
        <w:pBdr>
          <w:top w:val="nil"/>
          <w:left w:val="nil"/>
          <w:bottom w:val="nil"/>
          <w:right w:val="nil"/>
          <w:between w:val="nil"/>
          <w:bar w:val="nil"/>
        </w:pBdr>
        <w:spacing w:before="0" w:after="240"/>
      </w:pPr>
      <w:r w:rsidRPr="00AA77C7">
        <w:t>Rovněž bylo zjištěno, že program Kreativní Evropa plní strategické priority EU: program významně přispívá k cíli zaměstnanosti strategie EU 2020 a k prioritám současné Komise – stimulace investic pro vytváření pracovních míst a hlubší a spravedlivější vnitřní trh s posílenou průmyslovou základnou – a dále k odvětvovým strategiím na úrovni EU, jako jsou cíle jednotného digitálního trhu.</w:t>
      </w:r>
    </w:p>
    <w:p w:rsidR="00C5603D" w:rsidRPr="00AA77C7" w:rsidRDefault="00C10731" w:rsidP="008F26E4">
      <w:pPr>
        <w:pBdr>
          <w:top w:val="nil"/>
          <w:left w:val="nil"/>
          <w:bottom w:val="nil"/>
          <w:right w:val="nil"/>
          <w:between w:val="nil"/>
          <w:bar w:val="nil"/>
        </w:pBdr>
        <w:spacing w:before="0" w:after="240"/>
      </w:pPr>
      <w:r w:rsidRPr="00AA77C7">
        <w:t>Hodnocení dospělo k závěru, že vzhledem k velikosti a škále kulturních a kreativních odvětví na evropské úrovni a k zeměpisným oblastem, na něž se hodnocené programy vztahují, nepostačoval objem rozpočtů programu Kreativní Evropa a jeho předchůdců k tomu, aby přinesl významný dopad evropského rozměru a/nebo na odvětvové úrovni.</w:t>
      </w:r>
    </w:p>
    <w:p w:rsidR="00F85F41" w:rsidRPr="00AA77C7" w:rsidRDefault="00F85F41" w:rsidP="008F26E4">
      <w:pPr>
        <w:pBdr>
          <w:top w:val="nil"/>
          <w:left w:val="nil"/>
          <w:bottom w:val="nil"/>
          <w:right w:val="nil"/>
          <w:between w:val="nil"/>
          <w:bar w:val="nil"/>
        </w:pBdr>
        <w:spacing w:before="0" w:after="240"/>
        <w:rPr>
          <w:rFonts w:eastAsia="Arial Unicode MS"/>
        </w:rPr>
      </w:pPr>
      <w:r w:rsidRPr="00AA77C7">
        <w:lastRenderedPageBreak/>
        <w:t>Hodnocení dále ukázalo, že dílčí program MEDIA účinně přispěl k prohloubení vnitřního trhu. Rozsah programu MEDIA se přitom v průběhu let rozšiřoval, ovšem bez odpovídajícího navýšení rozpočtu. Finanční prostředky jsou tedy příliš slabě rozptýleny na velký počet priorit, což oslabuje jejich potenciální dopad.</w:t>
      </w:r>
    </w:p>
    <w:p w:rsidR="003A07DD" w:rsidRPr="00AA77C7" w:rsidRDefault="00C5603D" w:rsidP="00CD2084">
      <w:pPr>
        <w:pStyle w:val="ManualHeading2"/>
        <w:rPr>
          <w:u w:color="000000"/>
          <w:bdr w:val="nil"/>
        </w:rPr>
      </w:pPr>
      <w:r w:rsidRPr="00AA77C7">
        <w:tab/>
        <w:t>Konzultace se zúčastněnými stranami</w:t>
      </w:r>
    </w:p>
    <w:p w:rsidR="003A07DD" w:rsidRPr="00AA77C7" w:rsidRDefault="003A07DD" w:rsidP="00B80436">
      <w:pPr>
        <w:pStyle w:val="ManualHeading1"/>
      </w:pPr>
      <w:r w:rsidRPr="00AA77C7">
        <w:t>Otevřená veřejná konzultace ohledně využívání fondů EU v oblasti hodnot a mobility</w:t>
      </w:r>
    </w:p>
    <w:p w:rsidR="003A07DD" w:rsidRPr="00AA77C7" w:rsidRDefault="003A07DD" w:rsidP="00DD1EC4">
      <w:r w:rsidRPr="00AA77C7">
        <w:t>Účelem veřejné konzultace ohledně využívání fondů EU v oblasti hodnot a mobility bylo zjistit, jaké názory mají všechny zúčastněné strany na to, jak nejlépe využít každé euro z rozpočtu EU. Konzultace se uskutečnily v souvislosti s hodnocením stávajících finančních programů EU a týkaly se několika oblastí politiky, včetně stávajících úkolů a budoucích výzev.</w:t>
      </w:r>
    </w:p>
    <w:p w:rsidR="003A07DD" w:rsidRPr="00AA77C7" w:rsidRDefault="003A07DD" w:rsidP="003A07DD">
      <w:r w:rsidRPr="00AA77C7">
        <w:t>Hlavní výsledky jsou mimo jiné tyto:</w:t>
      </w:r>
    </w:p>
    <w:p w:rsidR="003A07DD" w:rsidRPr="00AA77C7" w:rsidRDefault="00727597" w:rsidP="00727597">
      <w:pPr>
        <w:pStyle w:val="Point0"/>
      </w:pPr>
      <w:r>
        <w:t>1)</w:t>
      </w:r>
      <w:r>
        <w:tab/>
      </w:r>
      <w:r w:rsidR="003A07DD" w:rsidRPr="00AA77C7">
        <w:t>Podle respondentů jsou „podpora evropské identity a společných hodnot“ a „podpora práv a rovnosti“ důležité společné politické výzvy, kterými by se tyto programy měly zabývat. U programu Kreativní Evropa jsou ekonomické výzvy a kulturní rozmanitost důležitější než „podpora sociálního začlenění a spravedlnosti“.</w:t>
      </w:r>
    </w:p>
    <w:p w:rsidR="003A07DD" w:rsidRPr="00AA77C7" w:rsidRDefault="00727597" w:rsidP="00727597">
      <w:pPr>
        <w:pStyle w:val="Point0"/>
      </w:pPr>
      <w:r>
        <w:t>2)</w:t>
      </w:r>
      <w:r>
        <w:tab/>
      </w:r>
      <w:r w:rsidR="003A07DD" w:rsidRPr="00AA77C7">
        <w:t>„Podpora inovací“, „podpora evropské kulturní rozmanitosti a kulturního dědictví“ a „podpora evropské identity a společných hodnot“ jsou pro více než polovinu respondentů politiky, které zcela nebo poměrně dobře reagují na výzvy. Navíc 52 % respondentů</w:t>
      </w:r>
      <w:r w:rsidR="003A07DD" w:rsidRPr="00AA77C7">
        <w:rPr>
          <w:rStyle w:val="Znakapoznpodarou"/>
        </w:rPr>
        <w:footnoteReference w:id="10"/>
      </w:r>
      <w:r w:rsidR="003A07DD" w:rsidRPr="00AA77C7">
        <w:t>, kteří mají zkušenost s programem Kreativní Evropa, se domnívá, že politika „podpory konkurenceschopnosti evropských kulturních a kreativních odvětví“ řeší výzvy zcela nebo poměrně dobře.</w:t>
      </w:r>
    </w:p>
    <w:p w:rsidR="003A07DD" w:rsidRPr="00AA77C7" w:rsidRDefault="00727597" w:rsidP="00727597">
      <w:pPr>
        <w:pStyle w:val="Point0"/>
      </w:pPr>
      <w:r>
        <w:t>3)</w:t>
      </w:r>
      <w:r>
        <w:tab/>
      </w:r>
      <w:r w:rsidR="003A07DD" w:rsidRPr="00AA77C7">
        <w:t xml:space="preserve">Přibližně 80 % respondentů, kteří mají nějakou zkušenost s výše uvedenými programy EU, souhlasí s tím, že tyto programy do velké míry nebo do poměrně velké míry přidávají hodnotu tomu, co by členské státy mohly dosáhnout samy na vnitrostátní, regionální a/nebo místní úrovni. </w:t>
      </w:r>
    </w:p>
    <w:p w:rsidR="003A07DD" w:rsidRPr="00AA77C7" w:rsidRDefault="00727597" w:rsidP="00727597">
      <w:pPr>
        <w:pStyle w:val="Point0"/>
      </w:pPr>
      <w:r>
        <w:t>4)</w:t>
      </w:r>
      <w:r>
        <w:tab/>
      </w:r>
      <w:r w:rsidR="003A07DD" w:rsidRPr="00AA77C7">
        <w:t>Hlavní překážky, jež by podle respondentů mohly stávajícím programům / fondům bránit v dosažení cílů, jsou velice podobné bez ohledu na daný program: „nedostatečný rozpočet pro uspokojení poptávky“; „nedostatečná podpora pro malé zúčastněné strany“ a „nedostatečná podpora pro uchazeče, kteří se hlásí poprvé“ byly uvedeny jako tři největší překážky.</w:t>
      </w:r>
    </w:p>
    <w:p w:rsidR="003A07DD" w:rsidRPr="00AA77C7" w:rsidRDefault="00727597" w:rsidP="00727597">
      <w:pPr>
        <w:pStyle w:val="Point0"/>
      </w:pPr>
      <w:r>
        <w:t>5)</w:t>
      </w:r>
      <w:r>
        <w:tab/>
      </w:r>
      <w:r w:rsidR="003A07DD" w:rsidRPr="00AA77C7">
        <w:t>Respondenti, kteří mají nějakou zkušenost s jedním či více programy EU, souhlasili s tím, že hlavními kroky ke zjednodušení a snížení administrativní zátěže pro příjemce jsou „používání zjednodušených přihlášek“, „usnadňování strukturované sítě a partnerství“, „usnadňování financování opatření zasahujících do více odvětví“ a „lepší koordinace mezi různými programy/fondy“.</w:t>
      </w:r>
    </w:p>
    <w:p w:rsidR="003A07DD" w:rsidRPr="00AA77C7" w:rsidRDefault="003A07DD" w:rsidP="00B80436">
      <w:pPr>
        <w:pStyle w:val="ManualHeading1"/>
      </w:pPr>
      <w:r w:rsidRPr="00AA77C7">
        <w:t>Další otevřené veřejné konzultace</w:t>
      </w:r>
    </w:p>
    <w:p w:rsidR="00C35EF9" w:rsidRPr="00AA77C7" w:rsidRDefault="00C35EF9" w:rsidP="00E32028">
      <w:pPr>
        <w:pBdr>
          <w:top w:val="nil"/>
          <w:left w:val="nil"/>
          <w:bottom w:val="nil"/>
          <w:right w:val="nil"/>
          <w:between w:val="nil"/>
          <w:bar w:val="nil"/>
        </w:pBdr>
        <w:spacing w:before="0" w:after="240"/>
        <w:rPr>
          <w:rFonts w:eastAsia="Arial Unicode MS"/>
        </w:rPr>
      </w:pPr>
      <w:r w:rsidRPr="00AA77C7">
        <w:t xml:space="preserve">V rámci průběžného hodnocení programu Kreativní Evropa proběhla od 23. ledna do 24. dubna 2017 otevřená veřejná konzultace. Její součástí byly do budoucna zaměřené otázky týkající se možného nástupce programu Kreativní Evropa po roce 2020. Pokud jde o dílčí programy Kultura a MEDIA, 90 % a 80 % respondentů uvedlo, že většina jejich priorit je stále relevantních nebo výjimečně relevantních, a více než polovina souhlasila s tím, že podpora poskytovaná v rámci dílčího programu Kultura byla zcela nebo částečně doplňková k vnitrostátnímu, unijnímu a mezinárodnímu financování. </w:t>
      </w:r>
      <w:r w:rsidRPr="00AA77C7">
        <w:lastRenderedPageBreak/>
        <w:t>Mezi nejdůležitější příležitosti, které respondenti průzkumu zmínili, patří společné kulturní hodnoty, podpora kulturního vzdělávání, podpora kulturní rozmanitosti, podpora internacionalizace a podpora významu kultury ve společnosti.</w:t>
      </w:r>
    </w:p>
    <w:p w:rsidR="00C5603D" w:rsidRPr="00AA77C7" w:rsidRDefault="00C5603D" w:rsidP="008F26E4">
      <w:pPr>
        <w:pStyle w:val="ManualHeading2"/>
        <w:rPr>
          <w:rFonts w:eastAsia="Arial Unicode MS"/>
          <w:u w:color="000000"/>
          <w:bdr w:val="nil"/>
        </w:rPr>
      </w:pPr>
      <w:r w:rsidRPr="00AA77C7">
        <w:tab/>
        <w:t>Externí odborné konzultace</w:t>
      </w:r>
    </w:p>
    <w:p w:rsidR="00C35EF9" w:rsidRPr="00AA77C7" w:rsidRDefault="00C35EF9" w:rsidP="0028024C">
      <w:pPr>
        <w:pBdr>
          <w:top w:val="nil"/>
          <w:left w:val="nil"/>
          <w:bottom w:val="nil"/>
          <w:right w:val="nil"/>
          <w:between w:val="nil"/>
          <w:bar w:val="nil"/>
        </w:pBdr>
        <w:spacing w:before="0" w:after="240"/>
        <w:rPr>
          <w:rFonts w:eastAsia="Arial Unicode MS"/>
        </w:rPr>
      </w:pPr>
      <w:r w:rsidRPr="00AA77C7">
        <w:t>Kromě výsledků veřejné konzultace vzala Komise v úvahu výsledky průběžného hodnocení stávajícího programu Kreativní Evropa, které bylo provedeno v letech 2017–2018, zpětnou vazbu od různých zúčastněných stran, zejména v rámci Evropského filmového fóra</w:t>
      </w:r>
      <w:r w:rsidRPr="00AA77C7">
        <w:rPr>
          <w:rStyle w:val="Znakapoznpodarou"/>
        </w:rPr>
        <w:footnoteReference w:id="11"/>
      </w:r>
      <w:r w:rsidRPr="00AA77C7">
        <w:t xml:space="preserve"> a řady tematických setkání zúčastněných stran z oblasti hudby, zjištění nezávislých studií, jakož i doporučení odborníků z členských států v rámci otevřené metody koordinace v oblasti kultury a šíření evropských filmů a strukturovaný dialog s odvětvím v období 2014–2018.</w:t>
      </w:r>
    </w:p>
    <w:p w:rsidR="00C35EF9" w:rsidRPr="00AA77C7" w:rsidRDefault="00C35EF9" w:rsidP="0028024C">
      <w:pPr>
        <w:pBdr>
          <w:top w:val="nil"/>
          <w:left w:val="nil"/>
          <w:bottom w:val="nil"/>
          <w:right w:val="nil"/>
          <w:between w:val="nil"/>
          <w:bar w:val="nil"/>
        </w:pBdr>
        <w:spacing w:before="0" w:after="240"/>
        <w:rPr>
          <w:rFonts w:eastAsia="Arial Unicode MS"/>
        </w:rPr>
      </w:pPr>
      <w:r w:rsidRPr="00AA77C7">
        <w:t>Tyto různé zdroje podtrhly řadu přínosů programu Kreativní Evropa, ale označily také oblasti, ve kterých je zapotřebí zlepšení a zjednodušení. Zatímco obecné cíle současného programu (podpora kulturní a jazykové rozmanitosti, posilování konkurenceschopnosti kulturních a kreativních odvětví) zůstávají obecně platné, je třeba další integrace a rozšíření, aby bylo možné lépe reagovat na zjištěné potřeby a nedostatky, které se v posledních letech jen zhoršily:</w:t>
      </w:r>
    </w:p>
    <w:p w:rsidR="00C35EF9" w:rsidRPr="00AA77C7" w:rsidRDefault="00727597" w:rsidP="00727597">
      <w:pPr>
        <w:pStyle w:val="Point0"/>
      </w:pPr>
      <w:r>
        <w:t>1)</w:t>
      </w:r>
      <w:r>
        <w:tab/>
      </w:r>
      <w:r w:rsidR="00C35EF9" w:rsidRPr="00AA77C7">
        <w:t>zvýšený tlak na evropskou kulturní rozmanitost a dědictví v kombinaci s rostoucí dominancí a oběhem děl ze třetích zemí, zejména z USA;</w:t>
      </w:r>
    </w:p>
    <w:p w:rsidR="004C002A" w:rsidRPr="00AA77C7" w:rsidRDefault="00727597" w:rsidP="00727597">
      <w:pPr>
        <w:pStyle w:val="Point0"/>
      </w:pPr>
      <w:r>
        <w:t>2)</w:t>
      </w:r>
      <w:r>
        <w:tab/>
      </w:r>
      <w:r w:rsidR="004C002A" w:rsidRPr="00AA77C7">
        <w:t>nedostatečný oběh evropských děl a jejich schopnost oslovit diváky;</w:t>
      </w:r>
    </w:p>
    <w:p w:rsidR="00C35EF9" w:rsidRPr="00AA77C7" w:rsidRDefault="00727597" w:rsidP="00727597">
      <w:pPr>
        <w:pStyle w:val="Point0"/>
      </w:pPr>
      <w:r>
        <w:t>3)</w:t>
      </w:r>
      <w:r>
        <w:tab/>
      </w:r>
      <w:r w:rsidR="00C35EF9" w:rsidRPr="00AA77C7">
        <w:t>nedostatečná a křehká konkurenceschopnost kulturních a kreativních odvětví;</w:t>
      </w:r>
    </w:p>
    <w:p w:rsidR="00C35EF9" w:rsidRPr="00AA77C7" w:rsidRDefault="00727597" w:rsidP="00727597">
      <w:pPr>
        <w:pStyle w:val="Point0"/>
      </w:pPr>
      <w:r>
        <w:t>4)</w:t>
      </w:r>
      <w:r>
        <w:tab/>
      </w:r>
      <w:r w:rsidR="00C35EF9" w:rsidRPr="00AA77C7">
        <w:t>nedostatek příležitostí k odborné přípravě a mobilitě umělců a kreativních pracovníků;</w:t>
      </w:r>
    </w:p>
    <w:p w:rsidR="00C35EF9" w:rsidRPr="00AA77C7" w:rsidRDefault="00727597" w:rsidP="00727597">
      <w:pPr>
        <w:pStyle w:val="Point0"/>
      </w:pPr>
      <w:r>
        <w:t>5)</w:t>
      </w:r>
      <w:r>
        <w:tab/>
      </w:r>
      <w:r w:rsidR="00C35EF9" w:rsidRPr="00AA77C7">
        <w:t>nedostatek internacionalizace evropské kultury;</w:t>
      </w:r>
    </w:p>
    <w:p w:rsidR="00C35EF9" w:rsidRPr="00AA77C7" w:rsidRDefault="00727597" w:rsidP="00727597">
      <w:pPr>
        <w:pStyle w:val="Point0"/>
      </w:pPr>
      <w:r>
        <w:t>6)</w:t>
      </w:r>
      <w:r>
        <w:tab/>
      </w:r>
      <w:r w:rsidR="00C35EF9" w:rsidRPr="00AA77C7">
        <w:t>obtíže s oslovováním publika a se sociálním začleňováním;</w:t>
      </w:r>
    </w:p>
    <w:p w:rsidR="00C35EF9" w:rsidRPr="00AA77C7" w:rsidRDefault="00727597" w:rsidP="00727597">
      <w:pPr>
        <w:pStyle w:val="Point0"/>
      </w:pPr>
      <w:r>
        <w:t>7)</w:t>
      </w:r>
      <w:r>
        <w:tab/>
      </w:r>
      <w:r w:rsidR="00C35EF9" w:rsidRPr="00AA77C7">
        <w:t>nízká adaptace a připravenost na digitalizaci;</w:t>
      </w:r>
    </w:p>
    <w:p w:rsidR="00C35EF9" w:rsidRPr="00AA77C7" w:rsidRDefault="00727597" w:rsidP="00727597">
      <w:pPr>
        <w:pStyle w:val="Point0"/>
      </w:pPr>
      <w:r>
        <w:t>8)</w:t>
      </w:r>
      <w:r>
        <w:tab/>
      </w:r>
      <w:r w:rsidR="00C35EF9" w:rsidRPr="00AA77C7">
        <w:t>nedostatečné budování kapacit odborníků a profesionalizace jednotlivců;</w:t>
      </w:r>
    </w:p>
    <w:p w:rsidR="00C73046" w:rsidRPr="00AA77C7" w:rsidRDefault="00727597" w:rsidP="00727597">
      <w:pPr>
        <w:pStyle w:val="Point0"/>
      </w:pPr>
      <w:r>
        <w:t>9)</w:t>
      </w:r>
      <w:r>
        <w:tab/>
      </w:r>
      <w:r w:rsidR="00C73046" w:rsidRPr="00AA77C7">
        <w:t>specifické výzvy pro audiovizuální odvětví v kontextu stále integrovanějšího jednotného digitálního trhu;</w:t>
      </w:r>
    </w:p>
    <w:p w:rsidR="00C35EF9" w:rsidRPr="00AA77C7" w:rsidRDefault="00727597" w:rsidP="00727597">
      <w:pPr>
        <w:pStyle w:val="Point0"/>
      </w:pPr>
      <w:r>
        <w:t>10)</w:t>
      </w:r>
      <w:r>
        <w:tab/>
      </w:r>
      <w:r w:rsidR="00C35EF9" w:rsidRPr="00AA77C7">
        <w:t>specifické odvětvové výzvy, zejména pro hudební odvětví, knižní a vydavatelské odvětví a pro odvětví architektury a kulturního dědictví.</w:t>
      </w:r>
    </w:p>
    <w:p w:rsidR="00C5603D" w:rsidRPr="00AA77C7" w:rsidRDefault="00C5603D" w:rsidP="008F26E4">
      <w:pPr>
        <w:pStyle w:val="ManualHeading2"/>
        <w:rPr>
          <w:rFonts w:eastAsia="Arial Unicode MS"/>
          <w:u w:color="000000"/>
          <w:bdr w:val="nil"/>
        </w:rPr>
      </w:pPr>
      <w:r w:rsidRPr="00AA77C7">
        <w:tab/>
        <w:t>Posouzení dopadů</w:t>
      </w:r>
    </w:p>
    <w:p w:rsidR="00887285" w:rsidRPr="00AA77C7" w:rsidRDefault="002B4591" w:rsidP="002B4591">
      <w:pPr>
        <w:rPr>
          <w:iCs/>
          <w:szCs w:val="24"/>
        </w:rPr>
      </w:pPr>
      <w:r w:rsidRPr="00AA77C7">
        <w:t>Posouzení dopadů bylo připraveno na podporu programů „Kreativní Evropa“, „Práva a hodnoty“ a „Spravedlnost“. Přestože Komise rozhodla, že je vhodnější pokračovat dvěma samostatnými programy, zjištění kombinovaného posouzení dopadů zůstávají relevantní a vztahují se jak na dílčí program Kultura, tak na dílčí program MEDIA.</w:t>
      </w:r>
    </w:p>
    <w:p w:rsidR="00887285" w:rsidRPr="00AA77C7" w:rsidRDefault="00DD1EC4" w:rsidP="00887285">
      <w:pPr>
        <w:rPr>
          <w:iCs/>
          <w:szCs w:val="24"/>
        </w:rPr>
      </w:pPr>
      <w:r w:rsidRPr="00AA77C7">
        <w:t>Výbor pro kontrolu regulace vydal k tomuto posouzení dopadů kladné stanovisko dne 20. dubna 2018. Zdůraznil přitom, že je třeba lépe vysvětlit vazby mezi zjištěními hodnocení, informacemi od zúčastněných stran, různými cíli a důvody pro strukturu programu. Zmínil také potřebu dalších záruk toho, že rámec pro monitorování a hodnocení umožní solidní a objektivní posouzení úspěšnosti programu.</w:t>
      </w:r>
    </w:p>
    <w:p w:rsidR="00A22D7A" w:rsidRPr="00AA77C7" w:rsidRDefault="009541D7" w:rsidP="00887285">
      <w:pPr>
        <w:rPr>
          <w:iCs/>
          <w:szCs w:val="24"/>
        </w:rPr>
      </w:pPr>
      <w:r w:rsidRPr="00AA77C7">
        <w:lastRenderedPageBreak/>
        <w:t>Tato iniciativa zohledňuje připomínky výboru. Vychází ze struktury stávajícího programu Kreativní Evropa a lépe odráží zpětnou vazbu od zúčastněných stran. Například v reakci na požadavek na větší rozšiřitelnost umožní nová složka MEDIA koordinovaná opatření spojující různé části audiovizuálního hodnotového řetězce.</w:t>
      </w:r>
    </w:p>
    <w:p w:rsidR="002B4591" w:rsidRPr="00AA77C7" w:rsidRDefault="00A22D7A" w:rsidP="002B4591">
      <w:pPr>
        <w:rPr>
          <w:iCs/>
          <w:szCs w:val="24"/>
        </w:rPr>
      </w:pPr>
      <w:r w:rsidRPr="00AA77C7">
        <w:t>Systém monitorování a hodnocení celého programu bude navíc posílen o vhodné ukazatele dopadu a výstupů.</w:t>
      </w:r>
    </w:p>
    <w:p w:rsidR="00F15D60" w:rsidRPr="00AA77C7" w:rsidRDefault="0095416E" w:rsidP="00F15D60">
      <w:pPr>
        <w:pStyle w:val="ManualHeading2"/>
        <w:rPr>
          <w:rFonts w:eastAsia="Arial Unicode MS"/>
          <w:u w:color="000000"/>
          <w:bdr w:val="nil"/>
        </w:rPr>
      </w:pPr>
      <w:r w:rsidRPr="00AA77C7">
        <w:tab/>
        <w:t>Zjednodušení</w:t>
      </w:r>
    </w:p>
    <w:p w:rsidR="00422D88" w:rsidRPr="00AA77C7" w:rsidRDefault="00422D88" w:rsidP="00093794">
      <w:r w:rsidRPr="00AA77C7">
        <w:t>V zájmu zjednodušení budoucího programu oproti současnému programu Kreativní Evropa:</w:t>
      </w:r>
    </w:p>
    <w:p w:rsidR="00422D88" w:rsidRPr="00AA77C7" w:rsidRDefault="00422D88" w:rsidP="001662DF">
      <w:pPr>
        <w:pStyle w:val="Bullet0"/>
      </w:pPr>
      <w:r w:rsidRPr="00AA77C7">
        <w:t>bude do programu začleněna větší flexibilita, která umožní přizpůsobit pracovní programy nepředvídatelným okolnostem nebo novému technologickému nebo společenskému vývoji a odměňovat výkonnost,</w:t>
      </w:r>
    </w:p>
    <w:p w:rsidR="00422D88" w:rsidRPr="00AA77C7" w:rsidRDefault="00422D88" w:rsidP="001662DF">
      <w:pPr>
        <w:pStyle w:val="Bullet0"/>
      </w:pPr>
      <w:r w:rsidRPr="00AA77C7">
        <w:t>bude větším využíváním rámcových dohod o partnerství a kaskádových grantů usilováno o větší účinnost a efektivnost, což zajistí finanční stabilitu a usnadní přístup menším hráčům. Dále rozšířena bude již úspěšná výměna učení během provádění projektů a šíření výsledků tohoto učení,</w:t>
      </w:r>
    </w:p>
    <w:p w:rsidR="00C73046" w:rsidRPr="00AA77C7" w:rsidRDefault="00C73046" w:rsidP="00C73046">
      <w:pPr>
        <w:pStyle w:val="Bullet0"/>
      </w:pPr>
      <w:r w:rsidRPr="00AA77C7">
        <w:t>složka MEDIA zavede pobídky k odměňování výsledků, zejména pokud jde o schopnost oslovovat široké publikum (např. komerčně úspěšné audiovizuální projekty),</w:t>
      </w:r>
    </w:p>
    <w:p w:rsidR="00422D88" w:rsidRPr="00AA77C7" w:rsidRDefault="00422D88" w:rsidP="001662DF">
      <w:pPr>
        <w:pStyle w:val="Bullet0"/>
      </w:pPr>
      <w:r w:rsidRPr="00AA77C7">
        <w:t>budou budoucí opatření v hudebním odvětví, jakož i v oblasti překladů obsahovat kritéria odměňující tržní úspěch a úsilí oslovit publikum,</w:t>
      </w:r>
    </w:p>
    <w:p w:rsidR="00FD2024" w:rsidRPr="00AA77C7" w:rsidRDefault="00FD2024" w:rsidP="001662DF">
      <w:pPr>
        <w:pStyle w:val="Bullet0"/>
      </w:pPr>
      <w:r w:rsidRPr="00AA77C7">
        <w:t>budou navržena účinná přechodná opatření, která třetím zemím, jež byly přidruženy k programu Kreativní Evropa 2014–2020, usnadní přidružení k novému programu,</w:t>
      </w:r>
    </w:p>
    <w:p w:rsidR="00953B25" w:rsidRPr="00AA77C7" w:rsidRDefault="00953B25" w:rsidP="001662DF">
      <w:pPr>
        <w:pStyle w:val="Bullet0"/>
      </w:pPr>
      <w:r w:rsidRPr="00AA77C7">
        <w:t>budou jeho pokyny vyjasněny a v procesech a postupech budou systematicky využívány elektronické formuláře a zprávy a požadavky na vykazování se sníží. Bude zaveden soudržný jednotný soubor pravidel, který ale ponechá prostor pro rozdílné přístupy v případě potřeby.</w:t>
      </w:r>
    </w:p>
    <w:p w:rsidR="00B03491" w:rsidRPr="00AA77C7" w:rsidRDefault="00B03491" w:rsidP="00B03491">
      <w:r w:rsidRPr="00AA77C7">
        <w:t>Jiné programy již s úspěchem zavedly významná zjednodušující opatření, jako např. jednorázové částky, jednotkové náklady a paušály, která by mohla být zavedena i v novém programu Kreativní Evropa. Vzhledem ke specifičnosti odvětví kultury a individuální povaze podporovaných opatření je výpočet a použití jednorázových částek a paušálních sazeb složitější (s výjimkou literárního překladu), ale v případech, kdy lze základ pro výpočet zjednodušit, by to představovalo vítané snížení administrativní zátěže pro příjemce. Složka MEDIA bude nadále používat jednorázové částky, aby se v případě potřeby zjednodušilo finanční řízení. Metodika výpočtu jednorázových částek bude počítat s pravidelným monitorováním, aby se zajistilo sladění se skutečnými náklady.</w:t>
      </w:r>
    </w:p>
    <w:p w:rsidR="003B4EDD" w:rsidRPr="00AA77C7" w:rsidRDefault="00B03491" w:rsidP="00ED6E46">
      <w:pPr>
        <w:pBdr>
          <w:top w:val="nil"/>
          <w:left w:val="nil"/>
          <w:bottom w:val="nil"/>
          <w:right w:val="nil"/>
          <w:between w:val="nil"/>
          <w:bar w:val="nil"/>
        </w:pBdr>
        <w:spacing w:before="0" w:after="240"/>
      </w:pPr>
      <w:r w:rsidRPr="00AA77C7">
        <w:t>Komplexitu pravidel financování současných programů a zároveň jejich nestejnorodost vnímají uchazeči jako překážku. Důležitou roli ve zjednodušení přístupu k programu má jednotné kontaktní místo pro externí uživatele, kteří se účastní grantu během jeho životního cyklu (tj. účastnický portál), včetně obecného systému řízení grantů. Zefektivněním opatření a jejich odpovídajících finančních transakcí se podpora ze složky MEDIA se stane účinnější; složka KULTURA se bude i nadále zaměřovat na úspěšná opatření a řešit nově vznikající tržní neúspěchy konkrétními cílenými odvětvovými opatřeními. Zúčastněné strany z kulturních a kreativních odvětví tak budou celkově moci využívat přístup ve stylu „jednotného kontaktního místa“.</w:t>
      </w:r>
    </w:p>
    <w:p w:rsidR="00C5603D" w:rsidRPr="00AA77C7" w:rsidRDefault="00C5603D" w:rsidP="008F26E4">
      <w:pPr>
        <w:pStyle w:val="ManualHeading2"/>
        <w:rPr>
          <w:rFonts w:eastAsia="Arial Unicode MS"/>
          <w:u w:color="000000"/>
          <w:bdr w:val="nil"/>
        </w:rPr>
      </w:pPr>
      <w:r w:rsidRPr="00AA77C7">
        <w:tab/>
        <w:t>Základní práva</w:t>
      </w:r>
    </w:p>
    <w:p w:rsidR="00C5603D" w:rsidRPr="00AA77C7" w:rsidRDefault="002B4591" w:rsidP="008F26E4">
      <w:pPr>
        <w:pBdr>
          <w:top w:val="nil"/>
          <w:left w:val="nil"/>
          <w:bottom w:val="nil"/>
          <w:right w:val="nil"/>
          <w:between w:val="nil"/>
          <w:bar w:val="nil"/>
        </w:pBdr>
        <w:spacing w:before="0" w:after="240"/>
        <w:rPr>
          <w:rFonts w:eastAsia="Arial Unicode MS"/>
        </w:rPr>
      </w:pPr>
      <w:r w:rsidRPr="00AA77C7">
        <w:t xml:space="preserve">Tento návrh je zcela v souladu s Listinou základních práv EU. Konkrétně tento návrh plně zohledňuje články 11 (svoboda projevu), 13 (svoboda umění a věd), 15 (právo svobodné volby povolání a právo </w:t>
      </w:r>
      <w:r w:rsidRPr="00AA77C7">
        <w:lastRenderedPageBreak/>
        <w:t>pracovat), 21 (zákaz diskriminace), 22 (kulturní rozmanitost), 23 (rovnost žen a mužů), 31 (slušné a spravedlivé pracovní podmínky) Listiny.</w:t>
      </w:r>
    </w:p>
    <w:p w:rsidR="00C5603D" w:rsidRPr="00AA77C7" w:rsidRDefault="00C5603D" w:rsidP="008F26E4">
      <w:pPr>
        <w:pStyle w:val="ManualHeading1"/>
      </w:pPr>
      <w:r w:rsidRPr="00AA77C7">
        <w:t>4.</w:t>
      </w:r>
      <w:r w:rsidRPr="00AA77C7">
        <w:tab/>
        <w:t>ROZPOČTOVÉ DŮSLEDKY</w:t>
      </w:r>
    </w:p>
    <w:p w:rsidR="008B4CBF" w:rsidRPr="00AA77C7" w:rsidRDefault="008B4CBF" w:rsidP="008B4CBF">
      <w:pPr>
        <w:pBdr>
          <w:top w:val="nil"/>
          <w:left w:val="nil"/>
          <w:bottom w:val="nil"/>
          <w:right w:val="nil"/>
          <w:between w:val="nil"/>
          <w:bar w:val="nil"/>
        </w:pBdr>
        <w:spacing w:before="0" w:after="240"/>
      </w:pPr>
      <w:r w:rsidRPr="00AA77C7">
        <w:t>Finanční krytí pro provádění programu Kreativní Evropa na období od 1. ledna 2021 do 31. prosince 2027 představuje 1 850 000 000 EUR (v běžných cenách).</w:t>
      </w:r>
    </w:p>
    <w:p w:rsidR="002E1149" w:rsidRPr="00AA77C7" w:rsidRDefault="002E1149" w:rsidP="008B4CBF">
      <w:pPr>
        <w:pBdr>
          <w:top w:val="nil"/>
          <w:left w:val="nil"/>
          <w:bottom w:val="nil"/>
          <w:right w:val="nil"/>
          <w:between w:val="nil"/>
          <w:bar w:val="nil"/>
        </w:pBdr>
        <w:spacing w:before="0" w:after="240"/>
      </w:pPr>
      <w:r w:rsidRPr="00AA77C7">
        <w:t>Další podrobnosti o rozpočtových důsledcích a o nezbytných lidských a správních zdrojích jsou uvedeny v legislativním a finančním výkazu připojeném k tomuto návrhu.</w:t>
      </w:r>
    </w:p>
    <w:p w:rsidR="00C5603D" w:rsidRPr="00AA77C7" w:rsidRDefault="00C5603D" w:rsidP="008F26E4">
      <w:pPr>
        <w:pStyle w:val="ManualHeading1"/>
      </w:pPr>
      <w:r w:rsidRPr="00AA77C7">
        <w:t>5.</w:t>
      </w:r>
      <w:r w:rsidRPr="00AA77C7">
        <w:tab/>
        <w:t>OSTATNÍ PRVKY</w:t>
      </w:r>
    </w:p>
    <w:p w:rsidR="00C5603D" w:rsidRPr="00AA77C7" w:rsidRDefault="00C5603D" w:rsidP="008F26E4">
      <w:pPr>
        <w:pStyle w:val="ManualHeading2"/>
        <w:rPr>
          <w:rFonts w:eastAsia="Arial Unicode MS"/>
          <w:u w:color="000000"/>
          <w:bdr w:val="nil"/>
        </w:rPr>
      </w:pPr>
      <w:r w:rsidRPr="00AA77C7">
        <w:tab/>
        <w:t>Plány provádění a způsoby monitorování, hodnocení a podávání zpráv</w:t>
      </w:r>
    </w:p>
    <w:p w:rsidR="00C35EF9" w:rsidRPr="00AA77C7" w:rsidRDefault="00C35EF9" w:rsidP="0054330E">
      <w:r w:rsidRPr="00AA77C7">
        <w:t>Stávající programy financování, s výjimkou činností v oblasti zpravodajských médií, jsou prováděny především prostřednictvím přímého řízení prostřednictvím Výkonné agentury pro vzdělávání, kulturu a audiovizuální oblast (EACEA), protože to je nákladově efektivní, jak potvrzuje hodnocení v polovině období. Podle stávajících hodnocení není třeba způsob řízení měnit.</w:t>
      </w:r>
    </w:p>
    <w:p w:rsidR="00C35EF9" w:rsidRPr="00AA77C7" w:rsidRDefault="00C35EF9" w:rsidP="0054330E">
      <w:pPr>
        <w:pStyle w:val="Bullet0"/>
        <w:rPr>
          <w:bdr w:val="nil"/>
        </w:rPr>
      </w:pPr>
      <w:r w:rsidRPr="00AA77C7">
        <w:t>Provádění programu MEDIA bude zjednodušeno a zefektivněno, například seskupením příjemců a snížením počtu smluv o poskytnutí grantu a platebních transakcí. V návaznosti na pokračující racionalizaci programů distribuce, které představují 30 % rozpočtu složky MEDIA, bude cílem snížit celkové transakce v rámci složky MEDIA o 30 %, a snížit tak správní náklady a zvýšit účinnost programu.</w:t>
      </w:r>
    </w:p>
    <w:p w:rsidR="00C35EF9" w:rsidRPr="00AA77C7" w:rsidRDefault="00B253C9" w:rsidP="0054330E">
      <w:pPr>
        <w:pStyle w:val="Bullet0"/>
        <w:rPr>
          <w:bdr w:val="nil"/>
        </w:rPr>
      </w:pPr>
      <w:r w:rsidRPr="00AA77C7">
        <w:t>Finanční nástroje poskytující malým a středním podnikům v kulturních a kreativních odvětvích podporu ve formě záruk a případně kapitálu budou prováděny prostřednictvím fondu Invest EU v režimu nepřímého řízení na základě dohod o přiznání příspěvku s prováděcími partnery v souladu s finančním nařízením.</w:t>
      </w:r>
    </w:p>
    <w:p w:rsidR="007B48B3" w:rsidRPr="00AA77C7" w:rsidRDefault="009B5080" w:rsidP="007B48B3">
      <w:pPr>
        <w:spacing w:before="0" w:after="200"/>
        <w:rPr>
          <w:rFonts w:eastAsia="Arial Unicode MS"/>
        </w:rPr>
      </w:pPr>
      <w:r w:rsidRPr="00AA77C7">
        <w:t>Hodnocení se budou provádět v souladu s body 22 a 23 interinstitucionální dohody ze dne 13. dubna 2016</w:t>
      </w:r>
      <w:r w:rsidRPr="00AA77C7">
        <w:rPr>
          <w:rStyle w:val="Znakapoznpodarou"/>
        </w:rPr>
        <w:footnoteReference w:id="12"/>
      </w:r>
      <w:r w:rsidRPr="00AA77C7">
        <w:t>, v níž všechny tři orgány potvrdily, že hodnocení stávajících právních předpisů a politiky by měla sloužit jako základ pro posouzení dopadů možností pro další činnost. Hodnocení posoudí účinky programu v praxi na základě ukazatelů/cílů programu a podrobné analýzy, nakolik lze program považovat za relevantní, účinný, efektivní, zda má dostatečnou přidanou hodnotu na úrovni EU a nakolik je v souladu s ostatními politikami EU. Budou zahrnovat získané poznatky, na jejichž základě bude možné pojmenovat nedostatky/problémy nebo jakýkoli potenciál k dalšímu zlepšení opatření nebo jejich výsledků a k maximalizaci jejich využití/dopadu. Práce na monitorování a hodnocení budou vycházet z revidovaného rámce pro monitorování výkonnosti vyvinutého pro program Kreativní Evropa 2014–2020. Ten propojí údaje o projektech a příjemcích (shromážděné prostřednictvím elektronických formulářů a elektronických zpráv) s dalšími kontextovými informacemi z Evropské audiovizuální observatoře nebo cílených studií. Ukazatele budou odrážet reálně dostupné informace pro každou ze složek. Monitorování programu se bude provádět jak průběžně (aby bylo možné včas reagovat na jakékoli nepředvídané události nebo mimořádné potřeby), tak na základě plánu pravidelně (pro podávání zpráv o klíčových událostech, jako jsou výzvy k předkládání návrhů, přezkumy projektů, akce v oblasti koordinace nebo šíření). Monitorování následně poslouží jako podklad pro:</w:t>
      </w:r>
    </w:p>
    <w:p w:rsidR="00890CA6" w:rsidRPr="00AA77C7" w:rsidRDefault="00890CA6" w:rsidP="004F0427">
      <w:pPr>
        <w:pStyle w:val="Bullet1"/>
        <w:numPr>
          <w:ilvl w:val="0"/>
          <w:numId w:val="27"/>
        </w:numPr>
      </w:pPr>
      <w:r w:rsidRPr="00AA77C7">
        <w:t>výroční monitorovací zprávu obsahující přehled o pokroku dosaženém při plnění cílů programu,</w:t>
      </w:r>
    </w:p>
    <w:p w:rsidR="00890CA6" w:rsidRPr="00AA77C7" w:rsidRDefault="007B48B3" w:rsidP="002C1764">
      <w:pPr>
        <w:pStyle w:val="Bullet1"/>
      </w:pPr>
      <w:r w:rsidRPr="00AA77C7">
        <w:lastRenderedPageBreak/>
        <w:t>hodnocení v polovině období (bude provedeno nejpozději čtyři roky po zahájení provádění programu),</w:t>
      </w:r>
    </w:p>
    <w:p w:rsidR="007B48B3" w:rsidRPr="00AA77C7" w:rsidRDefault="007B48B3" w:rsidP="002C1764">
      <w:pPr>
        <w:pStyle w:val="Bullet1"/>
      </w:pPr>
      <w:r w:rsidRPr="00AA77C7">
        <w:t>závěrečné hodnocení, které bude provedeno nejpozději dva roky po skočení programového období.</w:t>
      </w:r>
    </w:p>
    <w:p w:rsidR="007B48B3" w:rsidRPr="00AA77C7" w:rsidRDefault="007B48B3" w:rsidP="007B48B3">
      <w:pPr>
        <w:spacing w:before="0" w:after="200"/>
        <w:rPr>
          <w:rFonts w:eastAsia="Arial Unicode MS"/>
        </w:rPr>
      </w:pPr>
      <w:r w:rsidRPr="00AA77C7">
        <w:t>Tato zpětná hodnocení budou provedena v souladu s poslední platnou verzí pokynů pro zlepšování právní úpravy (také na základě pokynů a osvědčených postupů), posoudí výkonnost programu na základě klíčových ukazatelů/cílů programu a podrobné analýzy, nakolik lze program považovat za relevantní, účinný, efektivní, zda má dostatečnou přidanou hodnotu na úrovni EU a nakolik je v souladu s ostatními politikami EU. Budou obsahovat doporučení, jak řešit zjištěné nedostatky/problémy nebo jakýkoli potenciál k dalšímu zlepšení opatření nebo jejich výsledků a k maximalizaci jejich využití/dopadu.</w:t>
      </w:r>
    </w:p>
    <w:p w:rsidR="007B48B3" w:rsidRPr="00AA77C7" w:rsidRDefault="007B48B3" w:rsidP="007B48B3">
      <w:pPr>
        <w:rPr>
          <w:rFonts w:eastAsia="Arial Unicode MS"/>
          <w:i/>
        </w:rPr>
      </w:pPr>
      <w:r w:rsidRPr="00AA77C7">
        <w:t xml:space="preserve">Podávání zpráv Evropskému parlamentu, Radě a všem ostatním </w:t>
      </w:r>
      <w:r w:rsidR="00904B8E" w:rsidRPr="00AA77C7">
        <w:t>relevantním</w:t>
      </w:r>
      <w:r w:rsidRPr="00AA77C7">
        <w:t xml:space="preserve"> orgánům a institucím EU bude probíhat pravidelně prostřednictvím hlavních zpráv o monitorování a hodnocení a veřejného srovnávacího přehledu klíčových ukazatelů programu.</w:t>
      </w:r>
    </w:p>
    <w:p w:rsidR="007B48B3" w:rsidRPr="00AA77C7" w:rsidRDefault="009A588E" w:rsidP="007B48B3">
      <w:pPr>
        <w:rPr>
          <w:rFonts w:eastAsia="Arial Unicode MS"/>
          <w:i/>
        </w:rPr>
      </w:pPr>
      <w:r w:rsidRPr="00AA77C7">
        <w:t>S výhradou výsledku analýzy nákladů a přínosů, která bude pro příští programové období provedena centrálně, bude významná část programu nejspíš realizována Výkonnou agenturou pro vzdělávání, kulturu a audiovizuální oblast pod dohledem generálních ředitelství odpovědných za program.</w:t>
      </w:r>
    </w:p>
    <w:p w:rsidR="00C5603D" w:rsidRPr="00AA77C7" w:rsidRDefault="00C5603D" w:rsidP="008F26E4">
      <w:pPr>
        <w:pStyle w:val="ManualHeading2"/>
        <w:rPr>
          <w:rFonts w:eastAsia="Arial Unicode MS"/>
          <w:u w:color="000000"/>
          <w:bdr w:val="nil"/>
        </w:rPr>
      </w:pPr>
      <w:r w:rsidRPr="00AA77C7">
        <w:tab/>
        <w:t>Podrobné vysvětlení konkrétních ustanovení návrhu</w:t>
      </w:r>
    </w:p>
    <w:p w:rsidR="00760CE7" w:rsidRPr="00AA77C7" w:rsidRDefault="007B48B3" w:rsidP="008F26E4">
      <w:pPr>
        <w:pBdr>
          <w:top w:val="nil"/>
          <w:left w:val="nil"/>
          <w:bottom w:val="nil"/>
          <w:right w:val="nil"/>
          <w:between w:val="nil"/>
          <w:bar w:val="nil"/>
        </w:pBdr>
        <w:spacing w:before="0" w:after="240"/>
      </w:pPr>
      <w:r w:rsidRPr="00AA77C7">
        <w:t>Tento návrh bude stavět na existující struktuře programu Kreativní Evropa – a bude ji dále rozvíjet – se složkou Kultura, MEDIA a posílenou meziodvětvovou složkou, která umožní inovativní opatření tam, kde přesahová činnost poskytuje přidanou hodnotu. Architektura a cíle programu Kreativní Evropa byly potvrzeny hodnocením v polovině období</w:t>
      </w:r>
      <w:r w:rsidRPr="00AA77C7">
        <w:rPr>
          <w:rStyle w:val="Znakapoznpodarou"/>
        </w:rPr>
        <w:footnoteReference w:id="13"/>
      </w:r>
      <w:r w:rsidRPr="00AA77C7">
        <w:t xml:space="preserve"> a další relevantní zpětnou vazbou. Je však třeba provést úpravy, které odrážejí hospodářský, technologický, společenský a politický vývoj, jak je vysvětleno výše.</w:t>
      </w:r>
    </w:p>
    <w:p w:rsidR="00D16E7D" w:rsidRPr="00AA77C7" w:rsidRDefault="002D2AAC" w:rsidP="008F26E4">
      <w:pPr>
        <w:pBdr>
          <w:top w:val="nil"/>
          <w:left w:val="nil"/>
          <w:bottom w:val="nil"/>
          <w:right w:val="nil"/>
          <w:between w:val="nil"/>
          <w:bar w:val="nil"/>
        </w:pBdr>
        <w:spacing w:before="0" w:after="240"/>
      </w:pPr>
      <w:r w:rsidRPr="00AA77C7">
        <w:t xml:space="preserve">Nový program například zahrnuje cílenější přístupy ke stávajícím opatřením, ale také nově vyvinuté prvky. </w:t>
      </w:r>
    </w:p>
    <w:p w:rsidR="00D4684D" w:rsidRPr="00AA77C7" w:rsidRDefault="00D4684D" w:rsidP="008F26E4">
      <w:pPr>
        <w:pBdr>
          <w:top w:val="nil"/>
          <w:left w:val="nil"/>
          <w:bottom w:val="nil"/>
          <w:right w:val="nil"/>
          <w:between w:val="nil"/>
          <w:bar w:val="nil"/>
        </w:pBdr>
        <w:spacing w:before="0" w:after="240"/>
      </w:pPr>
      <w:r w:rsidRPr="00AA77C7">
        <w:t>Složka KULTURA bude nadále podporovat nadnárodní partnerství, sítě a platformy a bude rozvíjet iniciativy pro jednotlivá odvětví, bude podporovat kulturní a kreativní subjekty v jejich úsilí oslovit publikum v Evropě i mimo ni a bude rozvíjet prvky, které vyzdvihují konkrétní společenské výhody kultury pro jednotlivce i pro společnost. Zlepší také stávající zvláštní opatření, jako je Evropské hlavní město kultury a označení „Evropské dědictví“.</w:t>
      </w:r>
    </w:p>
    <w:p w:rsidR="00055C57" w:rsidRPr="00AA77C7" w:rsidRDefault="00D4684D" w:rsidP="008F26E4">
      <w:pPr>
        <w:pBdr>
          <w:top w:val="nil"/>
          <w:left w:val="nil"/>
          <w:bottom w:val="nil"/>
          <w:right w:val="nil"/>
          <w:between w:val="nil"/>
          <w:bar w:val="nil"/>
        </w:pBdr>
        <w:spacing w:before="0" w:after="240"/>
      </w:pPr>
      <w:r w:rsidRPr="00AA77C7">
        <w:t>Cílem složky MEDIA bude stimulovat spolupráci a inovace při tvorbě a produkci evropských audiovizuálních děl, mimo jiné prostřednictvím podpory evropských talentů. Bude usilovat o zlepšení distribuce v kinech a online a o širší přeshraniční přístup k evropským audiovizuálním dílům, a to i prostřednictvím inovativních obchodních modelů. Bude propagovat evropská audiovizuální díla a podporovat rozvoj publika v celé Evropě i za jejími hranicemi. Tyto priority budou řešeny podporou tvorby, propagace, dostupnosti a šíření evropských děl s potenciálem oslovit široké publikum v Evropě i mimo ni, což podpoří provádění směrnice o audiovizuálních mediálních službách. Složka MEDIA dále přinese pružnější přístup, který umožní větší spolupráci napříč různými částmi hodnotového řetězce. Dále také podpoří zřizování strukturovaných partnerství a sítí s cílem posílit celkovou konkurenceschopnost evropského audiovizuálního odvětví a snížit administrativní náklady související s řízením programu.</w:t>
      </w:r>
    </w:p>
    <w:p w:rsidR="00181E09" w:rsidRPr="00AA77C7" w:rsidRDefault="001D5D43" w:rsidP="00B5404F">
      <w:pPr>
        <w:pBdr>
          <w:top w:val="nil"/>
          <w:left w:val="nil"/>
          <w:bottom w:val="nil"/>
          <w:right w:val="nil"/>
          <w:between w:val="nil"/>
          <w:bar w:val="nil"/>
        </w:pBdr>
        <w:spacing w:before="0" w:after="240"/>
      </w:pPr>
      <w:r w:rsidRPr="00AA77C7">
        <w:lastRenderedPageBreak/>
        <w:t>MEZIODVĚTVOVÁ složka bude podporovat průřezové činnosti zahrnující audiovizuální a další kulturní a kreativní odvětví. Bude prosazovat znalosti programu a podporovat přenositelnost výsledků. Dále bude povzbuzovat inovativní přístupy k tvorbě, dostupnosti, distribuci a propagaci obsahu napříč kulturními a kreativními odvětvími. Bude prosazovat průřezové činnosti zahrnující několik odvětví s cílem přizpůsobovat se strukturálním změnám, s nimiž se mediální odvětví potýká, zejména pokud jde o svobodnou a pluralistickou povahu mediálního prostředí, kvalitní žurnalistiku a mediální gramotnost. A konečně bude zřizovat a podporovat informační kanceláře programu, které budou poskytovat informace o programu a propagovat jej ve své zemi a stimulovat přeshraniční spolupráci v rámci kulturních a kreativních odvětví.</w:t>
      </w:r>
    </w:p>
    <w:p w:rsidR="0050092C" w:rsidRPr="00AA77C7" w:rsidRDefault="0050092C">
      <w:pPr>
        <w:spacing w:before="0" w:after="200" w:line="276" w:lineRule="auto"/>
        <w:jc w:val="left"/>
      </w:pPr>
      <w:r w:rsidRPr="00AA77C7">
        <w:br w:type="page"/>
      </w:r>
    </w:p>
    <w:p w:rsidR="00A739DB" w:rsidRPr="00AA77C7" w:rsidRDefault="00DA02CA" w:rsidP="00DA02CA">
      <w:pPr>
        <w:pStyle w:val="Rfrenceinterinstitutionnelle"/>
      </w:pPr>
      <w:r w:rsidRPr="00DA02CA">
        <w:lastRenderedPageBreak/>
        <w:t>2018/0190 (COD)</w:t>
      </w:r>
    </w:p>
    <w:p w:rsidR="00C5603D" w:rsidRPr="00AA77C7" w:rsidRDefault="00DA02CA" w:rsidP="00DA02CA">
      <w:pPr>
        <w:pStyle w:val="Statut"/>
      </w:pPr>
      <w:r w:rsidRPr="00DA02CA">
        <w:t>Návrh</w:t>
      </w:r>
    </w:p>
    <w:p w:rsidR="003F2AE4" w:rsidRPr="00AA77C7" w:rsidRDefault="00DA02CA" w:rsidP="00DA02CA">
      <w:pPr>
        <w:pStyle w:val="Typedudocument"/>
      </w:pPr>
      <w:r w:rsidRPr="00DA02CA">
        <w:t>NAŘÍZENÍ EVROPSKÉHO PARLAMENTU A RADY,</w:t>
      </w:r>
    </w:p>
    <w:p w:rsidR="00C5603D" w:rsidRPr="00AA77C7" w:rsidRDefault="00DA02CA" w:rsidP="00DA02CA">
      <w:pPr>
        <w:pStyle w:val="Titreobjet"/>
      </w:pPr>
      <w:r w:rsidRPr="00DA02CA">
        <w:t>kterým se zavádí program Kreativní Evropa (2021–2027) a zrušuje nařízení (EU) č. 1295/2013</w:t>
      </w:r>
    </w:p>
    <w:p w:rsidR="002D3C25" w:rsidRPr="00AA77C7" w:rsidRDefault="00DA02CA" w:rsidP="00DA02CA">
      <w:pPr>
        <w:pStyle w:val="IntrtEEE"/>
      </w:pPr>
      <w:r w:rsidRPr="00DA02CA">
        <w:t>(Text s významem pro EHP)</w:t>
      </w:r>
    </w:p>
    <w:p w:rsidR="00C5603D" w:rsidRPr="00AA77C7" w:rsidRDefault="00C5603D" w:rsidP="008F26E4">
      <w:pPr>
        <w:pStyle w:val="Institutionquiagit"/>
      </w:pPr>
      <w:r w:rsidRPr="00AA77C7">
        <w:t>EVROPSKÝ PARLAMENT A RADA EVROPSKÉ UNIE,</w:t>
      </w:r>
    </w:p>
    <w:p w:rsidR="00C5603D" w:rsidRPr="00AA77C7" w:rsidRDefault="00C5603D" w:rsidP="008F26E4">
      <w:r w:rsidRPr="00AA77C7">
        <w:t>s ohledem na Smlouvu o fungování Evropské unie, a zejména na čl. 167 odst. 5 a čl. 173 odst. 3 této smlouvy,</w:t>
      </w:r>
    </w:p>
    <w:p w:rsidR="00C5603D" w:rsidRPr="00AA77C7" w:rsidRDefault="00C5603D" w:rsidP="008F26E4">
      <w:r w:rsidRPr="00AA77C7">
        <w:t>s ohledem na návrh Evropské komise,</w:t>
      </w:r>
    </w:p>
    <w:p w:rsidR="00C5603D" w:rsidRPr="00AA77C7" w:rsidRDefault="00C5603D" w:rsidP="008F26E4">
      <w:r w:rsidRPr="00AA77C7">
        <w:t>po postoupení návrhu legislativního aktu vnitrostátním parlamentům,</w:t>
      </w:r>
    </w:p>
    <w:p w:rsidR="00C5603D" w:rsidRPr="00AA77C7" w:rsidRDefault="00C5603D" w:rsidP="008F26E4">
      <w:pPr>
        <w:rPr>
          <w:i/>
        </w:rPr>
      </w:pPr>
      <w:r w:rsidRPr="00AA77C7">
        <w:t>s ohledem na stanovisko Evropského hospodářského a sociálního výboru</w:t>
      </w:r>
      <w:r w:rsidRPr="00AA77C7">
        <w:rPr>
          <w:rStyle w:val="Znakapoznpodarou"/>
        </w:rPr>
        <w:footnoteReference w:id="14"/>
      </w:r>
      <w:r w:rsidRPr="00AA77C7">
        <w:t>,</w:t>
      </w:r>
    </w:p>
    <w:p w:rsidR="00C5603D" w:rsidRPr="00AA77C7" w:rsidRDefault="00C5603D" w:rsidP="008F26E4">
      <w:r w:rsidRPr="00AA77C7">
        <w:t>s ohledem na stanovisko Výboru regionů</w:t>
      </w:r>
      <w:r w:rsidRPr="00AA77C7">
        <w:rPr>
          <w:rStyle w:val="Znakapoznpodarou"/>
        </w:rPr>
        <w:footnoteReference w:id="15"/>
      </w:r>
      <w:r w:rsidRPr="00AA77C7">
        <w:t>,</w:t>
      </w:r>
    </w:p>
    <w:p w:rsidR="00C5603D" w:rsidRPr="00AA77C7" w:rsidRDefault="00C5603D" w:rsidP="008F26E4">
      <w:r w:rsidRPr="00AA77C7">
        <w:t>v souladu s řádným legislativním postupem,</w:t>
      </w:r>
    </w:p>
    <w:p w:rsidR="00096448" w:rsidRPr="00AA77C7" w:rsidRDefault="00C5603D" w:rsidP="00096448">
      <w:pPr>
        <w:rPr>
          <w:sz w:val="28"/>
        </w:rPr>
      </w:pPr>
      <w:r w:rsidRPr="00AA77C7">
        <w:t>vzhledem k těmto důvodům:</w:t>
      </w:r>
    </w:p>
    <w:p w:rsidR="00166BA6" w:rsidRPr="00AA77C7" w:rsidRDefault="00166BA6" w:rsidP="004F0427">
      <w:pPr>
        <w:pStyle w:val="Considrant"/>
        <w:numPr>
          <w:ilvl w:val="0"/>
          <w:numId w:val="12"/>
        </w:numPr>
      </w:pPr>
      <w:r w:rsidRPr="00AA77C7">
        <w:t>Kultura, kulturní dědictví a kulturní rozmanitost jsou pro evropskou společnost velmi přínosné z kulturního, environmentálního, sociálního a ekonomického hlediska a měly by být propagovány a podporovány. Římské prohlášení ze dne 25. března 2017 a Evropská rada v prosinci 2017 uvedly, že vzdělávání a kultura jsou klíčem k budování inkluzivních a soudržných společností pro všechny a k udržení evropské konkurenceschopnosti.</w:t>
      </w:r>
    </w:p>
    <w:p w:rsidR="00A644D1" w:rsidRPr="00AA77C7" w:rsidRDefault="00975AB4" w:rsidP="004F0427">
      <w:pPr>
        <w:pStyle w:val="Considrant"/>
        <w:numPr>
          <w:ilvl w:val="0"/>
          <w:numId w:val="12"/>
        </w:numPr>
      </w:pPr>
      <w:r w:rsidRPr="00AA77C7">
        <w:t>Podle článku 2 Smlouvy o Evropské unii je Unie založena na hodnotách úcty k lidské důstojnosti, svobody, demokracie, rovnosti, právního státu a dodržování lidských práv, včetně práv příslušníků menšin. Tyto hodnoty jsou společné členským státům ve společnosti vyznačující se pluralismem, nepřípustností diskriminace, tolerancí, spravedlností, solidaritou a rovností žen a mužů. Tyto hodnoty jsou dále potvrzeny a vyjádřeny v právech, svobodách a zásadách zakotvených v Listině základních práv Evropské unie, která má podle článku 6 Smlouvy o Evropské unii stejnou právní sílu jako Smlouvy.</w:t>
      </w:r>
    </w:p>
    <w:p w:rsidR="00975AB4" w:rsidRPr="00AA77C7" w:rsidRDefault="00975AB4" w:rsidP="00BB11F0">
      <w:pPr>
        <w:pStyle w:val="Considrant"/>
      </w:pPr>
      <w:r w:rsidRPr="00AA77C7">
        <w:t>Článek 3 Smlouvy o Evropské unii dále rozvádí, že cílem Unie je podporovat mír, své hodnoty a blahobyt svých obyvatel a že mimo jiné Unie respektuje svou bohatou kulturní a jazykovou rozmanitost a dbá na zachování a rozvoj evropského kulturního dědictví.</w:t>
      </w:r>
    </w:p>
    <w:p w:rsidR="00096448" w:rsidRPr="00AA77C7" w:rsidRDefault="00096448" w:rsidP="00BB11F0">
      <w:pPr>
        <w:pStyle w:val="Considrant"/>
      </w:pPr>
      <w:r w:rsidRPr="00AA77C7">
        <w:t>Cíle Unie pro kulturní a kreativní odvětví dále stanoví sdělení Komise o Nové evropské agendě pro kulturu</w:t>
      </w:r>
      <w:r w:rsidRPr="00AA77C7">
        <w:rPr>
          <w:rStyle w:val="Znakapoznpodarou"/>
        </w:rPr>
        <w:footnoteReference w:id="16"/>
      </w:r>
      <w:r w:rsidRPr="00AA77C7">
        <w:t xml:space="preserve">. Jejím cílem je maximalizovat sílu kultury a kulturní rozmanitosti ve prospěch sociální soudržnosti a společenského blahobytu posilováním přeshraničního rozměru kulturních a kreativních odvětví, podporováním jejich schopnosti růst, podpořit kreativitu založené na kultuře v oblasti vzdělávání a inovací ve prospěch tvorby pracovních míst a růstu a posilovat </w:t>
      </w:r>
      <w:r w:rsidRPr="00AA77C7">
        <w:lastRenderedPageBreak/>
        <w:t>mezinárodní kulturní vztahy. Program Kreativní Evropa by měl spolu s dalšími programy Unie podporovat provádění této nové evropské agendy pro kulturu. To je rovněž v souladu s Úmluvou UNESCO o ochraně a podpoře rozmanitosti kulturních projevů z roku 2005, která vstoupila v platnost dne 18. března 2007 a jejíž stranou je Unie.</w:t>
      </w:r>
    </w:p>
    <w:p w:rsidR="00096448" w:rsidRPr="00AA77C7" w:rsidRDefault="00096448" w:rsidP="000F28DF">
      <w:pPr>
        <w:pStyle w:val="Considrant"/>
      </w:pPr>
      <w:r w:rsidRPr="00AA77C7">
        <w:t>Podpora kulturní rozmanitosti v Evropě závisí na existenci prosperujících a odolných kulturních a kreativních odvětví, která jsou schopna tvořit, produkovat a distribuovat svoje díla širokému a rozmanitému evropskému publiku. To rozšiřuje jejich obchodní potenciál a přispívá k udržitelnému růstu a vytváření pracovních míst. Podpora kreativity navíc přispívá ke zvýšení konkurenceschopnosti a inovací v průmyslových hodnotových řetězcích. Navzdory nedávnému pokroku je evropský kulturní a kreativní trh i nadále roztříštěn podél národních a jazykových hranic, což kulturním a kreativním odvětvím neumožňuje plně využívat výhod jednotného evropského trhu a zejména jednotného digitálního trhu.</w:t>
      </w:r>
    </w:p>
    <w:p w:rsidR="00950EFF" w:rsidRPr="00AA77C7" w:rsidRDefault="00950EFF" w:rsidP="00950EFF">
      <w:pPr>
        <w:pStyle w:val="Considrant"/>
      </w:pPr>
      <w:r w:rsidRPr="00AA77C7">
        <w:t>Program by měl zohledňovat dvojí povahu kulturních a kreativních odvětví a uznávat jak vlastní a uměleckou hodnotu kultury, tak ekonomickou hodnotu těchto odvětví, včetně jejich širšího přínosu pro růst a konkurenceschopnost, kreativitu a inovace. To vyžaduje silná evropská kulturní a kreativní odvětví, a zejména dynamické evropské audiovizuální odvětví, s přihlédnutím k jeho schopnosti oslovit široké publikum a jeho hospodářskému významu, a to i pro další tvůrčí odvětví, jakož i pro kulturní cestovní ruch. Na světových audiovizuálních trzích však dále zesílila konkurence, a to vlivem tzv. digitálního přelomu, např. změn v mediální produkci, spotřebě a posilujícím postavení globálních platforem šíření obsahu. Proto je třeba podporu evropských odvětví dále zvýšit.</w:t>
      </w:r>
    </w:p>
    <w:p w:rsidR="008A1D4B" w:rsidRPr="00AA77C7" w:rsidRDefault="008A1D4B" w:rsidP="008A1D4B">
      <w:pPr>
        <w:pStyle w:val="Considrant"/>
      </w:pPr>
      <w:r w:rsidRPr="00AA77C7">
        <w:t>Má-li být tento program účinný, měl by zohledňovat zvláštní povahu různých odvětví, jejich rozdílné cílové skupiny a jejich zvláštní potřeby, a to individualizovanými přístupy v rámci složky věnované audiovizuálnímu odvětví, složky věnované ostatním kulturním a kreativním odvětvím a meziodvětvové složky.</w:t>
      </w:r>
    </w:p>
    <w:p w:rsidR="0087715C" w:rsidRPr="00AA77C7" w:rsidRDefault="0087715C" w:rsidP="00950EFF">
      <w:pPr>
        <w:pStyle w:val="Considrant"/>
      </w:pPr>
      <w:r w:rsidRPr="00AA77C7">
        <w:t>Meziodvětvová složka má za cíl využít potenciál spolupráce mezi jednotlivými kulturními a kreativními odvětvími. K přínosům společného průřezového přístupu patří předávání znalostí a správní efektivnost.</w:t>
      </w:r>
    </w:p>
    <w:p w:rsidR="004C002A" w:rsidRPr="00AA77C7" w:rsidRDefault="000E43A4" w:rsidP="004C002A">
      <w:pPr>
        <w:pStyle w:val="Considrant"/>
      </w:pPr>
      <w:r w:rsidRPr="00AA77C7">
        <w:t>Intervence Unie v audiovizuálním odvětví je nezbytná jako součást politik Unie v oblasti jednotného digitálního trhu. To se týká zejména modernizace rámce autorského práva a navrhovaného nařízení o online vysílání vysílacích organizací</w:t>
      </w:r>
      <w:r w:rsidRPr="00AA77C7">
        <w:rPr>
          <w:rStyle w:val="Znakapoznpodarou"/>
        </w:rPr>
        <w:footnoteReference w:id="17"/>
      </w:r>
      <w:r w:rsidRPr="00AA77C7">
        <w:t>, jakož i návrhu na změnu směrnice Evropského parlamentu a Rady 2010/13/EU</w:t>
      </w:r>
      <w:r w:rsidRPr="00AA77C7">
        <w:rPr>
          <w:rStyle w:val="Znakapoznpodarou"/>
        </w:rPr>
        <w:footnoteReference w:id="18"/>
      </w:r>
      <w:r w:rsidRPr="00AA77C7">
        <w:t>. Ty se snaží posílit schopnost evropských audiovizuálních subjektů financovat, produkovat a šířit díla, která se dokáží dostatečně zviditelnit v různých dostupných komunikačních médiích (např. v televizi, v kině nebo na platformách videa na vyžádání) a být atraktivní pro diváky na stále otevřenějším a konkurenčnějším trhu v Evropě i mimo ni. Podpora by měla být navýšena, aby bylo možné reagovat na nejnovější vývoj na trhu, zejména na silnější postavení globálních platforem distribuce oproti národním televizním a rozhlasovým vysílatelům, kteří tradičně investují do výroby evropských děl.</w:t>
      </w:r>
    </w:p>
    <w:p w:rsidR="00750826" w:rsidRPr="00AA77C7" w:rsidRDefault="00750826" w:rsidP="00BB11F0">
      <w:pPr>
        <w:pStyle w:val="Considrant"/>
      </w:pPr>
      <w:r w:rsidRPr="00AA77C7">
        <w:t>Zvláštní opatření v rámci programu Kreativní Evropa, jako je označení „Evropské dědictví“, Dny evropského dědictví, evropské ceny v oblasti současné, rockové a populární hudby, literatury, kulturního dědictví a architektury a Evropská hlavní města kultury, oslovily přímo miliony evropských občanů, ukázaly sociální a hospodářské přínosy evropských kulturních politik, a proto by se v nich mělo pokračovat, a bude-li to možné, měly by se rozšířit.</w:t>
      </w:r>
    </w:p>
    <w:p w:rsidR="00061771" w:rsidRPr="00AA77C7" w:rsidRDefault="00061771" w:rsidP="00061771">
      <w:pPr>
        <w:pStyle w:val="Considrant"/>
      </w:pPr>
      <w:r w:rsidRPr="00AA77C7">
        <w:lastRenderedPageBreak/>
        <w:t>Kultura má zásadní význam pro posilování inkluzivní a soudržné společnosti. V souvislosti s migračním tlakem hraje kultura důležitou úlohu při integraci migrantů, kdy jim pomáhá cítit se součástí hostitelské společnosti a budovat dobré vztahy mezi migranty a jejich novým společenstvím.</w:t>
      </w:r>
    </w:p>
    <w:p w:rsidR="00CB11B0" w:rsidRPr="00AA77C7" w:rsidRDefault="0009563A" w:rsidP="00CB11B0">
      <w:pPr>
        <w:pStyle w:val="Considrant"/>
      </w:pPr>
      <w:r w:rsidRPr="00AA77C7">
        <w:t>Základem dynamických kulturních a kreativních odvětví – včetně odvětví zpravodajských médií – je umělecká svoboda. Program by měl ve snaze o podporu pluralitního mediálního prostředí prosazovat přesahy a spolupráci mezi audiovizuálním a vydavatelským odvětvím.</w:t>
      </w:r>
    </w:p>
    <w:p w:rsidR="00D9628B" w:rsidRPr="00AA77C7" w:rsidRDefault="009972D1" w:rsidP="00181E09">
      <w:pPr>
        <w:pStyle w:val="Considrant"/>
      </w:pPr>
      <w:r w:rsidRPr="00AA77C7">
        <w:t>V souladu s články 8 a 10 Smlouvy o fungování Evropské unie (SFEU) by program měl ve všech svých činnostech podporovat genderový mainstreaming a cíle rovného zacházení a v příslušných případech by měl definovat vhodná kritéria genderové vyváženosti.</w:t>
      </w:r>
    </w:p>
    <w:p w:rsidR="00264C08" w:rsidRPr="00AA77C7" w:rsidRDefault="00264C08" w:rsidP="00CA43A5">
      <w:pPr>
        <w:pStyle w:val="Considrant"/>
        <w:rPr>
          <w:bCs/>
        </w:rPr>
      </w:pPr>
      <w:r w:rsidRPr="00AA77C7">
        <w:t>V souladu se společným sdělením „Směrem ke strategii EU pro mezinárodní kulturní vztahy“, které bylo schváleno usnesením Evropského parlamentu ze dne 5. července 2017</w:t>
      </w:r>
      <w:r w:rsidRPr="00AA77C7">
        <w:rPr>
          <w:rStyle w:val="Znakapoznpodarou"/>
        </w:rPr>
        <w:footnoteReference w:id="19"/>
      </w:r>
      <w:r w:rsidRPr="00AA77C7">
        <w:t>, by evropské nástroje financování a zejména tento program měly uznat význam kultury v mezinárodních vztazích a její úlohu při prosazování evropských hodnot zvláštními a cílenými opatřeními navrženými tak, aby měly jasný dopad Unie na globální scéně.</w:t>
      </w:r>
    </w:p>
    <w:p w:rsidR="00EB5AA0" w:rsidRPr="00AA77C7" w:rsidRDefault="00EB5AA0" w:rsidP="00CA43A5">
      <w:pPr>
        <w:pStyle w:val="Considrant"/>
        <w:rPr>
          <w:szCs w:val="24"/>
        </w:rPr>
      </w:pPr>
      <w:r w:rsidRPr="00AA77C7">
        <w:t>V souladu se sdělením Komise „Na cestě k integrovanému přístupu ke kulturnímu dědictví pro Evropu“ ze dne 22. července 2014</w:t>
      </w:r>
      <w:r w:rsidRPr="00AA77C7">
        <w:rPr>
          <w:rStyle w:val="Znakapoznpodarou"/>
        </w:rPr>
        <w:footnoteReference w:id="20"/>
      </w:r>
      <w:r w:rsidRPr="00AA77C7">
        <w:t xml:space="preserve"> by příslušné politiky a nástroje měly vypracovat hodnotu dlouhodobosti a udržitelnosti evropského kulturního dědictví a vytvořit integrovanější přístup k jeho zachování, zhodnocení a podpoře.</w:t>
      </w:r>
    </w:p>
    <w:p w:rsidR="000F28DF" w:rsidRPr="00AA77C7" w:rsidRDefault="000F28DF" w:rsidP="000F28DF">
      <w:pPr>
        <w:pStyle w:val="Considrant"/>
        <w:rPr>
          <w:szCs w:val="24"/>
        </w:rPr>
      </w:pPr>
      <w:r w:rsidRPr="00AA77C7">
        <w:t>V souladu se sdělením Komise „Investice do inteligentního, inovativního a udržitelného průmyslu – Obnovená strategie průmyslové politiky“ ze dne 13. září 2017</w:t>
      </w:r>
      <w:r w:rsidRPr="00AA77C7">
        <w:rPr>
          <w:rStyle w:val="Znakapoznpodarou"/>
        </w:rPr>
        <w:footnoteReference w:id="21"/>
      </w:r>
      <w:r w:rsidRPr="00AA77C7">
        <w:t xml:space="preserve"> by budoucí opatření měla přispět k propojení kreativity, designu a špičkových technologií s cílem vytvářet nové průmyslové hodnotové řetězce a oživit konkurenceschopnost tradičních průmyslových odvětví.</w:t>
      </w:r>
    </w:p>
    <w:p w:rsidR="00FF2FF9" w:rsidRPr="00AA77C7" w:rsidRDefault="00FF2FF9" w:rsidP="00FF2FF9">
      <w:pPr>
        <w:pStyle w:val="Considrant"/>
      </w:pPr>
      <w:r w:rsidRPr="00AA77C7">
        <w:t xml:space="preserve">Program by měl být za určitých podmínek otevřen účasti členů Evropského sdružení volného obchodu, přistupujících zemí, kandidátských zemí a potenciálních kandidátů, na něž se vztahuje předvstupní strategie, jakož i zemí, na něž se vztahuje evropská politika sousedství, a strategických partnerů Unie. </w:t>
      </w:r>
    </w:p>
    <w:p w:rsidR="009309E9" w:rsidRPr="00AA77C7" w:rsidRDefault="009309E9" w:rsidP="009309E9">
      <w:pPr>
        <w:pStyle w:val="Considrant"/>
        <w:rPr>
          <w:szCs w:val="24"/>
        </w:rPr>
      </w:pPr>
      <w:r w:rsidRPr="00AA77C7">
        <w:t>Třetí země, které jsou členy Evropského hospodářského prostoru (EHP), se mohou účastnit programů Unie v rámci spolupráce zavedené podle Dohody o EHP, která stanoví provádění programů na základě rozhodnutí přijatého podle uvedené dohody. Třetí země se mohou rovněž účastnit na základě jiných právních nástrojů. Toto nařízení by mělo obsahovat zvláštní ustanovení za účelem udělení nezbytných práv a přístupu příslušné schvalující osobě, Evropskému úřadu pro boj proti podvodům (OLAF), jakož i Evropskému účetnímu dvoru, aby mohly komplexně vykonávat své příslušné pravomoci.</w:t>
      </w:r>
    </w:p>
    <w:p w:rsidR="00D9628B" w:rsidRPr="00AA77C7" w:rsidRDefault="000E1245" w:rsidP="00CA43A5">
      <w:pPr>
        <w:pStyle w:val="Considrant"/>
      </w:pPr>
      <w:r w:rsidRPr="00AA77C7">
        <w:t xml:space="preserve">Program by měl podporovat spolupráci mezi Unií a mezinárodními organizacemi, jako jsou Organizace OSN pro výchovu, vědu a kulturu (UNESCO), Rada Evropy, včetně Eurimages a Evropské audiovizuální observatoře (dále jen „observatoř“), Organizace pro hospodářskou spolupráci a rozvoj a Světová organizace duševního vlastnictví. Tento program by měl rovněž podpořit závazky Unie týkající se cílů udržitelného rozvoje, zejména jejich kulturního </w:t>
      </w:r>
      <w:r w:rsidRPr="00AA77C7">
        <w:lastRenderedPageBreak/>
        <w:t>rozměru</w:t>
      </w:r>
      <w:r w:rsidRPr="00AA77C7">
        <w:rPr>
          <w:rStyle w:val="Znakapoznpodarou"/>
        </w:rPr>
        <w:footnoteReference w:id="22"/>
      </w:r>
      <w:r w:rsidRPr="00AA77C7">
        <w:t xml:space="preserve">. Pokud jde o audiovizuální odvětví, program by měl zajistit, aby Unie přispívala k činnosti Evropské audiovizuální observatoře. </w:t>
      </w:r>
    </w:p>
    <w:p w:rsidR="003D31F4" w:rsidRPr="00AA77C7" w:rsidRDefault="003D31F4" w:rsidP="003D31F4">
      <w:pPr>
        <w:pStyle w:val="Considrant"/>
      </w:pPr>
      <w:r w:rsidRPr="00AA77C7">
        <w:t>Vzhledem k významu boje proti změně klimatu v souladu se závazky Unie provádět Pařížskou dohodu a cíli udržitelného rozvoje OSN přispěje tento program k začleňování opatření v oblasti klimatu a k dosažení celkového cíle 25 % výdajů z rozpočtu EU na podporu cílů v oblasti klimatu. Příslušná opatření budou identifikována během přípravy a provádění programu a znovu posouzena v souvislosti s příslušnými hodnoceními a postupy přezkumu.</w:t>
      </w:r>
    </w:p>
    <w:p w:rsidR="00682459" w:rsidRPr="00AA77C7" w:rsidRDefault="00682459" w:rsidP="003D31F4">
      <w:pPr>
        <w:pStyle w:val="Considrant"/>
      </w:pPr>
      <w:r w:rsidRPr="00AA77C7">
        <w:t>Na toto nařízení se vztahují horizontální finanční pravidla přijatá Evropským parlamentem a Radou na základě článku 322 SFEU. Tato pravidla jsou stanovena ve finančním nařízení a určují zejména postup pro sestavování a plnění rozpočtu prostřednictvím grantů, veřejných zakázek, cen, nepřímého plnění a stanoví kontroly odpovědnosti účastníků finančních operací. Pravidla přijatá na základě článku 322 Smlouvy o fungování Evropské unie se rovněž týkají ochrany rozpočtu Unie v případě všeobecných nedostatků týkajících se dodržování zásad právního státu v členských státech, neboť dodržování zásad právního státu je základním předpokladem řádného finančního řízení a účinného financování Unie.</w:t>
      </w:r>
    </w:p>
    <w:p w:rsidR="00D9628B" w:rsidRPr="00AA77C7" w:rsidRDefault="00D9628B" w:rsidP="009159B6">
      <w:pPr>
        <w:pStyle w:val="Considrant"/>
      </w:pPr>
      <w:r w:rsidRPr="00AA77C7">
        <w:t>Evropská filmová akademie si od svého vzniku vybudovala jedinečné know-how a má jedinečné postavení k tomu, aby vytvořila celoevropskou komunitu filmových tvůrců a odborníků, která by propagovala a šířila evropské filmy za hranice zemí vzniku a rozvíjela skutečně evropské publikum. Proto by měla být způsobilá pro přímou podporu Unie.</w:t>
      </w:r>
    </w:p>
    <w:p w:rsidR="00D9628B" w:rsidRPr="00AA77C7" w:rsidRDefault="00D9628B" w:rsidP="00731056">
      <w:pPr>
        <w:pStyle w:val="Considrant"/>
      </w:pPr>
      <w:r w:rsidRPr="00AA77C7">
        <w:t>Orchestr mladých Evropské unie si od svého založení vybudoval jedinečné know-how v oblasti podpory mezikulturního dialogu, vzájemného respektu a porozumění prostřednictvím kultury. Zvláštnost Orchestru mladých Evropské unie spočívá v tom, že jde o evropský orchestr, který přesahuje kulturní hranice a skládá se z mladých hudebníků, kteří jsou vybíráni podle náročných uměleckých kritérií prostřednictvím každoročního přísného konkurzu ve všech členských státech. Proto by měl být způsobilý pro přímou podporu Unie.</w:t>
      </w:r>
    </w:p>
    <w:p w:rsidR="00D9628B" w:rsidRPr="00AA77C7" w:rsidRDefault="00D9628B" w:rsidP="00CA43A5">
      <w:pPr>
        <w:pStyle w:val="Considrant"/>
      </w:pPr>
      <w:r w:rsidRPr="00AA77C7">
        <w:t xml:space="preserve">Pro podporu Unie by měly být způsobilé organizace z kulturních a kreativních odvětví, jež mají široké evropské zeměpisné pokrytí a jejichž činnosti zahrnují poskytování kulturních služeb přímo občanům Unie, a mají proto potenciál přímo působit na evropskou identitu. </w:t>
      </w:r>
    </w:p>
    <w:p w:rsidR="00A66F1A" w:rsidRPr="00AA77C7" w:rsidRDefault="00D9628B" w:rsidP="00A66F1A">
      <w:pPr>
        <w:pStyle w:val="Considrant"/>
      </w:pPr>
      <w:r w:rsidRPr="00AA77C7">
        <w:t>Aby bylo zajištěno efektivní přidělování prostředků ze souhrnného rozpočtu Unie, je nezbytné zajistit evropskou přidanou hodnotu všech opatření a činností prováděných v rámci programu, jejich doplňkovost k činnostem členských států, přičemž by se mělo usilovat o konzistentnost, doplňkovost a synergie s programy financování, které podporují oblasti politiky s úzkými vazbami mezi sebou, jakož i s horizontálními politikami, jako je politika hospodářské soutěže Unie.</w:t>
      </w:r>
    </w:p>
    <w:p w:rsidR="008D1DC9" w:rsidRPr="00AA77C7" w:rsidRDefault="008D1DC9" w:rsidP="008D1DC9">
      <w:pPr>
        <w:pStyle w:val="Considrant"/>
      </w:pPr>
      <w:r w:rsidRPr="00AA77C7">
        <w:t>Finanční podpora by měla být využívána k tomu, aby úměrným způsobem řešila selhání trhu nebo suboptimální investiční situace, a opatření by neměla zdvojovat ani vytlačovat soukromé financování nebo narušovat hospodářskou soutěž na vnitřním trhu. Akce by měly mít jasnou evropskou přidanou hodnotu.</w:t>
      </w:r>
    </w:p>
    <w:p w:rsidR="00D9628B" w:rsidRPr="00AA77C7" w:rsidRDefault="00D9628B" w:rsidP="009159B6">
      <w:pPr>
        <w:pStyle w:val="Considrant"/>
      </w:pPr>
      <w:r w:rsidRPr="00AA77C7">
        <w:t>Jedním z největších problémů kulturních a kreativních odvětví je jejich přístup k finančním prostředkům, které by jim umožnily, aby si vybudovala, udržela nebo zvýšila konkurenceschopnost nebo aby svoji činnost rozšířila na mezinárodní úroveň. Politické cíle tohoto programu by měly být rovněž řešeny prostřednictvím finančních nástrojů a rozpočtové záruky v rámci okna (oken) politiky fondu Invest EU.</w:t>
      </w:r>
    </w:p>
    <w:p w:rsidR="00CB39EE" w:rsidRPr="00AA77C7" w:rsidRDefault="00CB39EE" w:rsidP="009971BA">
      <w:pPr>
        <w:pStyle w:val="Considrant"/>
      </w:pPr>
      <w:r w:rsidRPr="00AA77C7">
        <w:lastRenderedPageBreak/>
        <w:t xml:space="preserve">S přihlédnutím k technickým znalostem potřebným k posouzení návrhů v rámci specifických opatření programu by mělo být stanoveno, že hodnotící výbory mohou být případně složeny z externích odborníků. </w:t>
      </w:r>
    </w:p>
    <w:p w:rsidR="00D9628B" w:rsidRPr="00AA77C7" w:rsidRDefault="00172DEF" w:rsidP="009971BA">
      <w:pPr>
        <w:pStyle w:val="Considrant"/>
      </w:pPr>
      <w:r w:rsidRPr="00AA77C7">
        <w:t>Program by měl zahrnovat realistický a zvládnutelný systém ukazatelů výkonnosti, který bude doprovázet jeho opatření a průběžně monitorovat jeho výkonnost. Toto monitorování, jakož i informační a komunikační kampaně týkající se programu a jeho opatření by mělo stavět na třech složkách programu.</w:t>
      </w:r>
    </w:p>
    <w:p w:rsidR="00D9628B" w:rsidRPr="00AA77C7" w:rsidRDefault="00D9628B" w:rsidP="00CA43A5">
      <w:pPr>
        <w:pStyle w:val="Considrant"/>
      </w:pPr>
      <w:r w:rsidRPr="00AA77C7">
        <w:t>Toto nařízení stanoví finanční krytí programu Kreativní Evropa, které má představovat hlavní referenční částku ve smyslu bodu 17 interinstitucionální dohody ze dne 2. prosince 2013 mezi Evropským parlamentem, Radou a Komisí o rozpočtové kázni, spolupráci v rozpočtových záležitostech a řádném finančním řízení</w:t>
      </w:r>
      <w:r w:rsidRPr="00AA77C7">
        <w:rPr>
          <w:rStyle w:val="Znakapoznpodarou"/>
        </w:rPr>
        <w:footnoteReference w:id="23"/>
      </w:r>
      <w:r w:rsidRPr="00AA77C7">
        <w:t xml:space="preserve"> pro Evropský parlament a Radu během ročního rozpočtového procesu.</w:t>
      </w:r>
    </w:p>
    <w:p w:rsidR="00D9628B" w:rsidRPr="00AA77C7" w:rsidRDefault="00D9628B" w:rsidP="00CA43A5">
      <w:pPr>
        <w:pStyle w:val="Considrant"/>
      </w:pPr>
      <w:r w:rsidRPr="00AA77C7">
        <w:t>Na tento program se vztahuje nařízení (EU, Euratom) [...] („finanční nařízení“). Stanoví pravidla pro plnění rozpočtu Unie, včetně pravidel týkajících se grantů, včetně grantů třetím stranám, cen, zadávání veřejných zakázek, finančních nástrojů a rozpočtových záruk.</w:t>
      </w:r>
    </w:p>
    <w:p w:rsidR="002E1149" w:rsidRPr="00AA77C7" w:rsidRDefault="002E1149" w:rsidP="002E1149">
      <w:pPr>
        <w:pStyle w:val="Considrant"/>
      </w:pPr>
      <w:r w:rsidRPr="00AA77C7">
        <w:t>Druhy financování a způsoby provádění podle tohoto nařízení by měly být voleny na základě jejich schopnosti dosáhnout specifických cílů opatření a přinášet výsledky, při zohlednění zejména nákladů na kontroly, administrativní zátěže a očekávaného rizika neplnění. To by mělo zahrnovat zvážení používání jednorázových částek, paušálních sazeb a jednotkových nákladů, jakož i financování nesouvisejícího s náklady podle čl. 125 odst. 1 finančního nařízení.</w:t>
      </w:r>
    </w:p>
    <w:p w:rsidR="00D9628B" w:rsidRPr="00AA77C7" w:rsidRDefault="00D9628B" w:rsidP="00CA43A5">
      <w:pPr>
        <w:pStyle w:val="Considrant"/>
      </w:pPr>
      <w:r w:rsidRPr="00AA77C7">
        <w:t>V souladu s finančním nařízením, nařízením Evropského parlamentu a Rady (EU, Euratom) č. 883/2013</w:t>
      </w:r>
      <w:r w:rsidRPr="00AA77C7">
        <w:rPr>
          <w:rStyle w:val="Znakapoznpodarou"/>
        </w:rPr>
        <w:footnoteReference w:id="24"/>
      </w:r>
      <w:r w:rsidRPr="00AA77C7">
        <w:t>, nařízením Rady (ES, Euratom) č. 2988/95</w:t>
      </w:r>
      <w:r w:rsidRPr="00AA77C7">
        <w:rPr>
          <w:rStyle w:val="Znakapoznpodarou"/>
        </w:rPr>
        <w:footnoteReference w:id="25"/>
      </w:r>
      <w:r w:rsidRPr="00AA77C7">
        <w:t>, nařízením Rady (Euratom, ES) č. 2185/96</w:t>
      </w:r>
      <w:r w:rsidRPr="00AA77C7">
        <w:rPr>
          <w:rStyle w:val="Znakapoznpodarou"/>
        </w:rPr>
        <w:footnoteReference w:id="26"/>
      </w:r>
      <w:r w:rsidRPr="00AA77C7">
        <w:t xml:space="preserve"> a nařízením Rady (EU) 2017/1939</w:t>
      </w:r>
      <w:r w:rsidRPr="00AA77C7">
        <w:rPr>
          <w:rStyle w:val="Znakapoznpodarou"/>
        </w:rPr>
        <w:footnoteReference w:id="27"/>
      </w:r>
      <w:r w:rsidRPr="00AA77C7">
        <w:t xml:space="preserve"> mají být finanční zájmy Unie chráněny prostřednictvím přiměřených opatření, včetně prevence, odhalování, nápravy a vyšetřování nesrovnalostí a podvodů, zpětného získávání ztracených, neoprávněně vyplacených či nesprávně použitých finančních prostředků a případného ukládání správních sankcí. Zejména může Evropský úřad pro boj proti podvodům (OLAF) provádět v souladu s nařízením (EU, Euratom) č. 883/2013 a nařízením (Euratom, ES) č. 2185/96 správní vyšetřování, včetně kontrol a inspekcí na místě, aby zjistil, zda nedošlo k podvodu, korupci nebo jinému protiprávnímu jednání poškozujícímu finanční zájmy Unie. V souladu s nařízením (EU) 2017/1939 může Úřad evropského veřejného žalobce vyšetřovat a stíhat podvody a jiné trestné činy poškozující finanční zájmy Unie, jak je stanoveno ve směrnici Evropského parlamentu a Rady (EU) 2017/1371</w:t>
      </w:r>
      <w:r w:rsidRPr="00AA77C7">
        <w:rPr>
          <w:rStyle w:val="Znakapoznpodarou"/>
        </w:rPr>
        <w:footnoteReference w:id="28"/>
      </w:r>
      <w:r w:rsidRPr="00AA77C7">
        <w:t xml:space="preserve">. V souladu s finančním nařízením musí všechny osoby nebo subjekty, které přijímají finanční prostředky Unie, plně spolupracovat při ochraně finančních zájmů Unie, udělit Komisi, úřadu OLAF, Úřadu evropského veřejného žalobce a Evropskému </w:t>
      </w:r>
      <w:r w:rsidRPr="00AA77C7">
        <w:lastRenderedPageBreak/>
        <w:t>účetnímu dvoru (EÚD) nezbytná práva a potřebný přístup a zajistit, aby třetí osoby podílející se na vynakládání finančních prostředků Unie udělily rovnocenná práva.</w:t>
      </w:r>
    </w:p>
    <w:p w:rsidR="00D9628B" w:rsidRPr="00AA77C7" w:rsidRDefault="00D9628B" w:rsidP="00CA43A5">
      <w:pPr>
        <w:pStyle w:val="Considrant"/>
      </w:pPr>
      <w:r w:rsidRPr="00AA77C7">
        <w:t>Podle článku 94 rozhodnutí Rady 2013/755/EU</w:t>
      </w:r>
      <w:r w:rsidRPr="00AA77C7">
        <w:rPr>
          <w:rStyle w:val="Znakapoznpodarou"/>
        </w:rPr>
        <w:footnoteReference w:id="29"/>
      </w:r>
      <w:r w:rsidRPr="00AA77C7">
        <w:t xml:space="preserve"> jsou osoby a subjekty usazené v zámořských zemích a územích způsobilé k získání finančních prostředků s výhradou pravidel a cílů programu a případných režimů použitelných na členský stát, s nímž je příslušná zámořská země nebo území spojeno. </w:t>
      </w:r>
    </w:p>
    <w:p w:rsidR="00D9628B" w:rsidRPr="00AA77C7" w:rsidRDefault="00D9628B" w:rsidP="00CA43A5">
      <w:pPr>
        <w:pStyle w:val="Considrant"/>
      </w:pPr>
      <w:r w:rsidRPr="00AA77C7">
        <w:t>Za účelem změny jiných než podstatných prvků tohoto nařízení by měla být na Komisi přenesena pravomoc přijímat akty v souladu s článkem 290 Smlouvy o fungování Evropské unie, pokud jde o ukazatele stanovené v článku 15 a v příloze II. Komise by měla v rámci přípravné činnosti vést odpovídající konzultace, a to i na odborné úrovni. Tyto konzultace by měly být prováděny v souladu se zásadami stanovenými v interinstitucionální dohodě ze dne 13. dubna 2016 o zdokonalení tvorby právních předpisů. Pro zajištění rovné účasti na vypracovávání aktů v přenesené pravomoci by Evropský parlament a Rada měly obdržet veškeré dokumenty současně s odborníky z členských států a jejich odborníci by měli mít automaticky přístup na zasedání skupin odborníků Komise, jež se přípravě aktů v přenesené pravomoci věnují.</w:t>
      </w:r>
    </w:p>
    <w:p w:rsidR="00803388" w:rsidRPr="00AA77C7" w:rsidRDefault="00803388" w:rsidP="00803388">
      <w:pPr>
        <w:pStyle w:val="Considrant"/>
      </w:pPr>
      <w:r w:rsidRPr="00AA77C7">
        <w:t>V zájmu zajištění hladkého provádění programu mohou být za způsobilé považovány náklady vzniklé příjemci před podáním žádosti o grant, zejména náklady spojené s právy duševního vlastnictví, pokud se přímo vztahují k provádění podporovaných opatření.</w:t>
      </w:r>
    </w:p>
    <w:p w:rsidR="000A32D2" w:rsidRPr="00AA77C7" w:rsidRDefault="000A32D2" w:rsidP="000A32D2">
      <w:pPr>
        <w:pStyle w:val="Considrant"/>
      </w:pPr>
      <w:r w:rsidRPr="00AA77C7">
        <w:t>Podle odstavců 22 a 23 interinstitucionální dohody ze dne 13. dubna 2016 o zdokonalení tvorby právních předpisů je potřeba hodnotit tento program na základě informací shromážděných prostřednictvím zvláštních monitorovacích požadavků a zároveň omezit nadměrnou regulaci a administrativní zátěž, a to zejména pro členské státy. Tyto požadavky mohou případně zahrnovat měřitelné ukazatele jako základ pro hodnocení praktických účinků programu.</w:t>
      </w:r>
    </w:p>
    <w:p w:rsidR="00950862" w:rsidRPr="00AA77C7" w:rsidRDefault="00A83EFD" w:rsidP="00950862">
      <w:pPr>
        <w:pStyle w:val="Considrant"/>
      </w:pPr>
      <w:r w:rsidRPr="00AA77C7">
        <w:t xml:space="preserve">Za účelem zajištění jednotných podmínek k provádění tohoto nařízení by měly být Komisi svěřeny prováděcí pravomoci, pokud jde o přijetí pracovních programů. Tyto pravomoci by měly být </w:t>
      </w:r>
      <w:r w:rsidRPr="00AA77C7">
        <w:rPr>
          <w:rStyle w:val="italic1"/>
          <w:i w:val="0"/>
        </w:rPr>
        <w:t>vykonávány</w:t>
      </w:r>
      <w:r w:rsidRPr="00AA77C7">
        <w:t xml:space="preserve"> v souladu s nařízením Evropského parlamentu a Rady (EU) č. 182/2011</w:t>
      </w:r>
      <w:r w:rsidRPr="00AA77C7">
        <w:rPr>
          <w:rStyle w:val="Znakapoznpodarou"/>
        </w:rPr>
        <w:footnoteReference w:id="30"/>
      </w:r>
      <w:r w:rsidRPr="00AA77C7">
        <w:t>. Je nezbytné zajistit řádné ukončení předchozího programu, zejména pokud jde o pokračování víceletých ujednání o jeho řízení, jako je financování technické a správní pomoci. Od [1. ledna 2021] by měla technická a správní pomoc v případě potřeby zajistit řízení opatření, která nebyla v rámci předchozích programů dokončena do [31. prosince 2020].</w:t>
      </w:r>
    </w:p>
    <w:p w:rsidR="00950862" w:rsidRPr="00AA77C7" w:rsidRDefault="00950862" w:rsidP="00950862">
      <w:pPr>
        <w:pStyle w:val="Considrant"/>
      </w:pPr>
      <w:r w:rsidRPr="00AA77C7">
        <w:t>Toto nařízení ctí základní práva a dodržuje zásady uznané zejména Listinou základních práv Evropské unie. Cílem tohoto nařízení je zejména zajistit plné dodržování práva na rovnost žen a mužů a práva na nediskriminaci na základě pohlaví, rasového nebo etnického původu, náboženského vyznání nebo přesvědčení, zdravotního postižení, věku nebo sexuální orientace a podporovat uplatňování článků 21 a 23 Listiny základních práv Evropské unie. Nařízení je rovněž v souladu s Úmluvou Organizace spojených národů o právech osob se zdravotním postižením.</w:t>
      </w:r>
    </w:p>
    <w:p w:rsidR="00950862" w:rsidRPr="00AA77C7" w:rsidRDefault="00950862" w:rsidP="00950862">
      <w:pPr>
        <w:pStyle w:val="Considrant"/>
      </w:pPr>
      <w:r w:rsidRPr="00AA77C7">
        <w:t xml:space="preserve">Jelikož cílů tohoto nařízení nemůže být dosaženo uspokojivě členskými státy, ale z důvodu jejich nadnárodního charakteru, vysokého objemu a širokého zeměpisného rozsahu financovaných činností v oblasti mobility a spolupráce, jejich vlivu na přístup k vzdělávací </w:t>
      </w:r>
      <w:r w:rsidRPr="00AA77C7">
        <w:lastRenderedPageBreak/>
        <w:t>mobilitě a obecněji na integraci Unie, jakož i z důvodu jejich posíleného mezinárodního rozměru, jich může být lépe dosaženo na úrovni Unie, může Unie přijmout opatření v souladu se zásadou subsidiarity stanovenou v článku 5 Smlouvy o Evropské unii. V souladu se zásadou proporcionality stanovenou v uvedeném článku nepřekračuje toto nařízení rámec toho, co je nezbytné pro dosažení uvedeného cíle.</w:t>
      </w:r>
    </w:p>
    <w:p w:rsidR="00950862" w:rsidRPr="00AA77C7" w:rsidRDefault="00950862" w:rsidP="00950862">
      <w:pPr>
        <w:pStyle w:val="Considrant"/>
      </w:pPr>
      <w:r w:rsidRPr="00AA77C7">
        <w:t>Nařízení (EU) č. 1295/2013 by proto mělo být zrušeno s účinkem od [1. ledna 2021].</w:t>
      </w:r>
    </w:p>
    <w:p w:rsidR="00F6403A" w:rsidRPr="00AA77C7" w:rsidRDefault="00950862" w:rsidP="00546A76">
      <w:pPr>
        <w:pStyle w:val="Considrant"/>
      </w:pPr>
      <w:r w:rsidRPr="00AA77C7">
        <w:t>Aby se zajistila kontinuita finanční podpory podle tohoto programu, mělo by se toto nařízení použít ode dne [1. ledna 2021],</w:t>
      </w:r>
    </w:p>
    <w:p w:rsidR="00C93CF3" w:rsidRPr="00AA77C7" w:rsidRDefault="00C93CF3">
      <w:pPr>
        <w:spacing w:before="0" w:after="200" w:line="276" w:lineRule="auto"/>
        <w:jc w:val="left"/>
      </w:pPr>
      <w:r w:rsidRPr="00AA77C7">
        <w:br w:type="page"/>
      </w:r>
    </w:p>
    <w:p w:rsidR="00C5603D" w:rsidRPr="00AA77C7" w:rsidRDefault="00C5603D" w:rsidP="008F26E4">
      <w:pPr>
        <w:pStyle w:val="Formuledadoption"/>
      </w:pPr>
      <w:r w:rsidRPr="00AA77C7">
        <w:lastRenderedPageBreak/>
        <w:t>PŘIJALY TOTO NAŘÍZENÍ:</w:t>
      </w:r>
    </w:p>
    <w:p w:rsidR="00994FCC" w:rsidRPr="00AA77C7" w:rsidRDefault="00994FCC" w:rsidP="00CA43A5">
      <w:pPr>
        <w:pStyle w:val="ChapterTitle"/>
      </w:pPr>
      <w:r w:rsidRPr="00AA77C7">
        <w:t>Kapitola I</w:t>
      </w:r>
      <w:r w:rsidRPr="00AA77C7">
        <w:br/>
        <w:t>Obecná ustanovení</w:t>
      </w:r>
    </w:p>
    <w:p w:rsidR="00994FCC" w:rsidRPr="00AA77C7" w:rsidRDefault="00994FCC" w:rsidP="00DF68BF">
      <w:pPr>
        <w:pStyle w:val="Titrearticle"/>
      </w:pPr>
      <w:r w:rsidRPr="00AA77C7">
        <w:t>Článek 1</w:t>
      </w:r>
      <w:r w:rsidRPr="00AA77C7">
        <w:br/>
        <w:t>Předmět</w:t>
      </w:r>
    </w:p>
    <w:p w:rsidR="00994FCC" w:rsidRPr="00AA77C7" w:rsidRDefault="00994FCC" w:rsidP="00994FCC">
      <w:r w:rsidRPr="00AA77C7">
        <w:t xml:space="preserve">Toto nařízení zavádí program Kreativní Evropa (dále jen „program“). </w:t>
      </w:r>
    </w:p>
    <w:p w:rsidR="00587E35" w:rsidRPr="00AA77C7" w:rsidRDefault="00994FCC" w:rsidP="00994FCC">
      <w:r w:rsidRPr="00AA77C7">
        <w:t xml:space="preserve">Stanoví cíle programu, rozpočet na období 2021–2027, formy financování z prostředků Unie a pravidla pro poskytování tohoto financování. </w:t>
      </w:r>
    </w:p>
    <w:p w:rsidR="00994FCC" w:rsidRPr="00AA77C7" w:rsidRDefault="00994FCC" w:rsidP="00DF68BF">
      <w:pPr>
        <w:pStyle w:val="Titrearticle"/>
      </w:pPr>
      <w:r w:rsidRPr="00AA77C7">
        <w:t xml:space="preserve">Článek 2 </w:t>
      </w:r>
      <w:r w:rsidRPr="00AA77C7">
        <w:br/>
        <w:t>Definice</w:t>
      </w:r>
    </w:p>
    <w:p w:rsidR="00994FCC" w:rsidRPr="00AA77C7" w:rsidRDefault="00994FCC" w:rsidP="00994FCC">
      <w:r w:rsidRPr="00AA77C7">
        <w:t xml:space="preserve">Pro účely tohoto nařízení se použijí tyto definice: </w:t>
      </w:r>
    </w:p>
    <w:p w:rsidR="00994FCC" w:rsidRPr="00AA77C7" w:rsidRDefault="001304B0" w:rsidP="001304B0">
      <w:pPr>
        <w:pStyle w:val="Point0"/>
      </w:pPr>
      <w:r>
        <w:t>1)</w:t>
      </w:r>
      <w:r>
        <w:tab/>
      </w:r>
      <w:r w:rsidR="00994FCC" w:rsidRPr="00AA77C7">
        <w:t xml:space="preserve">„operací kombinování zdrojů“ se rozumí opatření podporovaná z rozpočtu EU, včetně opatření v rámci nástrojů kombinujících zdroje financování podle čl. 2 odst. 6 finančního nařízení, která kombinují nevratné formy podpory a finanční nástroje z rozpočtu EU s vratnými formami podpory od rozvojových či jiných veřejných finančních institucí, jakož i od komerčních finančních institucí a investorů; </w:t>
      </w:r>
    </w:p>
    <w:p w:rsidR="00994FCC" w:rsidRPr="00AA77C7" w:rsidRDefault="001304B0" w:rsidP="001304B0">
      <w:pPr>
        <w:pStyle w:val="Point0"/>
      </w:pPr>
      <w:r>
        <w:t>2)</w:t>
      </w:r>
      <w:r>
        <w:tab/>
      </w:r>
      <w:r w:rsidR="008A7327" w:rsidRPr="00AA77C7">
        <w:t xml:space="preserve">„kulturními a kreativními odvětvími“ se rozumí všechna odvětví, jejichž činnosti jsou založeny na kulturních hodnotách nebo na uměleckých a jiných individuálních nebo kolektivních kreativních projevech. Tyto činnosti mohou zahrnovat vývoj, tvorbu, produkci, šíření a ochranu produktů a služeb, které představují kulturní, umělecké či jiné kreativní projevy, jakož i související funkce, jako je vzdělávání nebo řízení. Budou mít potenciál vytvářet inovace a pracovní místa, zejména z duševního vlastnictví. K těmto odvětvím patří architektura, archivy, knihovny a muzea, umělecká řemesla, audiovizuální odvětví (například kinematografie, televize, videohry a multimédia), hmotné a nehmotné kulturní dědictví, design (včetně módního návrhářství), festivaly, hudba, literatura, scénická umění, knihy a vydavatelská činnost, rozhlas a výtvarné umění; </w:t>
      </w:r>
    </w:p>
    <w:p w:rsidR="00B43B5C" w:rsidRPr="00AA77C7" w:rsidRDefault="001304B0" w:rsidP="001304B0">
      <w:pPr>
        <w:pStyle w:val="Point0"/>
      </w:pPr>
      <w:r>
        <w:t>3)</w:t>
      </w:r>
      <w:r>
        <w:tab/>
      </w:r>
      <w:r w:rsidR="008B5722" w:rsidRPr="00AA77C7">
        <w:t>„mikropodniky a malými a středními podniky“ se rozumí mikropodniky a malé a střední podniky, jak jsou definovány v doporučení Komise 2003/361/ES</w:t>
      </w:r>
      <w:r w:rsidR="008B5722" w:rsidRPr="00AA77C7">
        <w:rPr>
          <w:rStyle w:val="Znakapoznpodarou"/>
        </w:rPr>
        <w:footnoteReference w:id="31"/>
      </w:r>
      <w:r w:rsidR="008B5722" w:rsidRPr="00AA77C7">
        <w:t>;</w:t>
      </w:r>
    </w:p>
    <w:p w:rsidR="004604C8" w:rsidRPr="00AA77C7" w:rsidRDefault="001304B0" w:rsidP="001304B0">
      <w:pPr>
        <w:pStyle w:val="Point0"/>
      </w:pPr>
      <w:r>
        <w:t>4)</w:t>
      </w:r>
      <w:r>
        <w:tab/>
      </w:r>
      <w:r w:rsidR="00994FCC" w:rsidRPr="00AA77C7">
        <w:t>„právním subjektem“ se rozumí jakákoli fyzická nebo právnická osoba založená a uznaná jako taková podle vnitrostátního práva, práva Unie nebo mezinárodního práva, která má právní subjektivitu a která smí vlastním jménem vykonávat práva a mít povinnosti, nebo subjekt bez právní subjektivity v souladu s [čl. 197 odst. 2 písm. c)] finančního nařízení;</w:t>
      </w:r>
    </w:p>
    <w:p w:rsidR="00994FCC" w:rsidRPr="00AA77C7" w:rsidRDefault="001304B0" w:rsidP="001304B0">
      <w:pPr>
        <w:pStyle w:val="Point0"/>
      </w:pPr>
      <w:r>
        <w:t>5)</w:t>
      </w:r>
      <w:r>
        <w:tab/>
      </w:r>
      <w:r w:rsidR="00442164" w:rsidRPr="00AA77C7">
        <w:t xml:space="preserve">„pečetí excelence“ se rozumí značka vysoké kvality udělovaná projektům předloženým programu Kreativní Evropa, které by si zasloužily financování, ale nedostanou je kvůli rozpočtovým omezením. Uznává hodnotu návrhu a podporuje hledání alternativního financování. </w:t>
      </w:r>
    </w:p>
    <w:p w:rsidR="00994FCC" w:rsidRPr="00AA77C7" w:rsidRDefault="00994FCC" w:rsidP="00DF68BF">
      <w:pPr>
        <w:pStyle w:val="Titrearticle"/>
      </w:pPr>
      <w:r w:rsidRPr="00AA77C7">
        <w:t>Článek 3</w:t>
      </w:r>
      <w:r w:rsidRPr="00AA77C7">
        <w:br/>
        <w:t>Cíle programu</w:t>
      </w:r>
    </w:p>
    <w:p w:rsidR="000812EB" w:rsidRPr="00AA77C7" w:rsidRDefault="001304B0" w:rsidP="001304B0">
      <w:pPr>
        <w:pStyle w:val="Point0"/>
      </w:pPr>
      <w:r>
        <w:t>1)</w:t>
      </w:r>
      <w:r>
        <w:tab/>
      </w:r>
      <w:r w:rsidR="00994FCC" w:rsidRPr="00AA77C7">
        <w:t xml:space="preserve">Program má tyto obecné cíle: </w:t>
      </w:r>
    </w:p>
    <w:p w:rsidR="000812EB" w:rsidRPr="00AA77C7" w:rsidRDefault="00016829" w:rsidP="00016829">
      <w:pPr>
        <w:pStyle w:val="Point1"/>
      </w:pPr>
      <w:r>
        <w:lastRenderedPageBreak/>
        <w:t>a)</w:t>
      </w:r>
      <w:r>
        <w:tab/>
      </w:r>
      <w:r w:rsidR="007C3FFA" w:rsidRPr="00AA77C7">
        <w:t>prosazovat evropskou spolupráci v oblasti kulturní a jazykové rozmanitosti a dědictví;</w:t>
      </w:r>
    </w:p>
    <w:p w:rsidR="00994FCC" w:rsidRPr="00AA77C7" w:rsidRDefault="00016829" w:rsidP="00016829">
      <w:pPr>
        <w:pStyle w:val="Point1"/>
      </w:pPr>
      <w:r>
        <w:t>b)</w:t>
      </w:r>
      <w:r>
        <w:tab/>
      </w:r>
      <w:r w:rsidR="007C3FFA" w:rsidRPr="00AA77C7">
        <w:t>zvyšovat konkurenceschopnost kulturních a kreativních odvětví, zejména audiovizuálního odvětví.</w:t>
      </w:r>
    </w:p>
    <w:p w:rsidR="00994FCC" w:rsidRPr="00AA77C7" w:rsidRDefault="001304B0" w:rsidP="001304B0">
      <w:pPr>
        <w:pStyle w:val="Point0"/>
      </w:pPr>
      <w:r>
        <w:t>2)</w:t>
      </w:r>
      <w:r>
        <w:tab/>
      </w:r>
      <w:r w:rsidR="00994FCC" w:rsidRPr="00AA77C7">
        <w:t xml:space="preserve">Program má tyto specifické cíle: </w:t>
      </w:r>
    </w:p>
    <w:p w:rsidR="00994FCC" w:rsidRPr="00AA77C7" w:rsidRDefault="00016829" w:rsidP="00016829">
      <w:pPr>
        <w:pStyle w:val="Point1"/>
      </w:pPr>
      <w:r>
        <w:t>a)</w:t>
      </w:r>
      <w:r>
        <w:tab/>
      </w:r>
      <w:r w:rsidR="003D082B" w:rsidRPr="00AA77C7">
        <w:t>posilovat hospodářský, sociální a vnější rozměr evropské úrovně spolupráce za účelem rozvoje a podpory evropské kulturní rozmanitosti a kulturního dědictví Evropy a posilovat konkurenceschopnost evropských kulturních a kreativních odvětví a upevňovat mezinárodní kulturní vztahy;</w:t>
      </w:r>
    </w:p>
    <w:p w:rsidR="00975AB4" w:rsidRPr="00AA77C7" w:rsidRDefault="00016829" w:rsidP="00016829">
      <w:pPr>
        <w:pStyle w:val="Point1"/>
      </w:pPr>
      <w:r>
        <w:t>b)</w:t>
      </w:r>
      <w:r>
        <w:tab/>
      </w:r>
      <w:r w:rsidR="006662F0" w:rsidRPr="00AA77C7">
        <w:t xml:space="preserve">prosazovat konkurenceschopnost a rozšiřitelnost evropského audiovizuálního odvětví; </w:t>
      </w:r>
    </w:p>
    <w:p w:rsidR="00994FCC" w:rsidRPr="00AA77C7" w:rsidRDefault="00016829" w:rsidP="00016829">
      <w:pPr>
        <w:pStyle w:val="Point1"/>
      </w:pPr>
      <w:r>
        <w:t>c)</w:t>
      </w:r>
      <w:r>
        <w:tab/>
      </w:r>
      <w:r w:rsidR="006662F0" w:rsidRPr="00AA77C7">
        <w:t>prosazovat politickou spolupráci a inovativní činnosti podporující všechny složky programu včetně prosazování rozmanitého a pluralistického mediálního prostředí, mediální gramotnosti a sociálního začleňování</w:t>
      </w:r>
      <w:r w:rsidR="006662F0" w:rsidRPr="00AA77C7">
        <w:rPr>
          <w:b/>
        </w:rPr>
        <w:t xml:space="preserve">. </w:t>
      </w:r>
    </w:p>
    <w:p w:rsidR="00587E35" w:rsidRPr="00AA77C7" w:rsidRDefault="001304B0" w:rsidP="001304B0">
      <w:pPr>
        <w:pStyle w:val="Point0"/>
      </w:pPr>
      <w:r>
        <w:t>3)</w:t>
      </w:r>
      <w:r>
        <w:tab/>
      </w:r>
      <w:r w:rsidR="00587E35" w:rsidRPr="00AA77C7">
        <w:t xml:space="preserve">Program tvoří tyto složky: </w:t>
      </w:r>
    </w:p>
    <w:p w:rsidR="00587E35" w:rsidRPr="00AA77C7" w:rsidRDefault="00016829" w:rsidP="00016829">
      <w:pPr>
        <w:pStyle w:val="Point1"/>
      </w:pPr>
      <w:r>
        <w:t>a)</w:t>
      </w:r>
      <w:r>
        <w:tab/>
      </w:r>
      <w:r w:rsidR="00587E35" w:rsidRPr="00AA77C7">
        <w:t>složka „KULTURA“ se vztahuje na kulturní a kreativní odvětví kromě audiovizuálního odvětví;</w:t>
      </w:r>
    </w:p>
    <w:p w:rsidR="00397AA2" w:rsidRPr="00AA77C7" w:rsidRDefault="00016829" w:rsidP="00016829">
      <w:pPr>
        <w:pStyle w:val="Point1"/>
      </w:pPr>
      <w:r>
        <w:t>b)</w:t>
      </w:r>
      <w:r>
        <w:tab/>
      </w:r>
      <w:r w:rsidR="00587E35" w:rsidRPr="00AA77C7">
        <w:t>složka „MEDIA“ se vztahuje na audiovizuální odvětví;</w:t>
      </w:r>
    </w:p>
    <w:p w:rsidR="00587E35" w:rsidRPr="00AA77C7" w:rsidRDefault="00016829" w:rsidP="00016829">
      <w:pPr>
        <w:pStyle w:val="Point1"/>
      </w:pPr>
      <w:r>
        <w:t>c)</w:t>
      </w:r>
      <w:r>
        <w:tab/>
      </w:r>
      <w:r w:rsidR="00397AA2" w:rsidRPr="00AA77C7">
        <w:t>„MEZIODVĚTVOVÁ složka“ se vztahuje na činnosti napříč všemi kulturními a kreativními odvětvími.</w:t>
      </w:r>
    </w:p>
    <w:p w:rsidR="00642A42" w:rsidRPr="00AA77C7" w:rsidRDefault="00642A42" w:rsidP="00DF68BF">
      <w:pPr>
        <w:pStyle w:val="Titrearticle"/>
        <w:rPr>
          <w:b/>
        </w:rPr>
      </w:pPr>
      <w:r w:rsidRPr="00AA77C7">
        <w:t>Článek 4</w:t>
      </w:r>
      <w:r w:rsidRPr="00AA77C7">
        <w:br/>
        <w:t>Složka KULTURA</w:t>
      </w:r>
    </w:p>
    <w:p w:rsidR="00642A42" w:rsidRPr="00AA77C7" w:rsidRDefault="00642A42" w:rsidP="00642A42">
      <w:r w:rsidRPr="00AA77C7">
        <w:t>V souladu s cíli uvedenými v článku 3 má složka „KULTURA“ tyto priority:</w:t>
      </w:r>
    </w:p>
    <w:p w:rsidR="00642A42" w:rsidRPr="00AA77C7" w:rsidRDefault="0047299D" w:rsidP="0047299D">
      <w:pPr>
        <w:pStyle w:val="Point1"/>
      </w:pPr>
      <w:r>
        <w:t>a)</w:t>
      </w:r>
      <w:r>
        <w:tab/>
      </w:r>
      <w:r w:rsidR="00642A42" w:rsidRPr="00AA77C7">
        <w:t xml:space="preserve">posilovat přeshraniční rozměr a oběh evropských kulturních a kreativních subjektů a děl; </w:t>
      </w:r>
    </w:p>
    <w:p w:rsidR="00642A42" w:rsidRPr="00AA77C7" w:rsidRDefault="0047299D" w:rsidP="0047299D">
      <w:pPr>
        <w:pStyle w:val="Point1"/>
      </w:pPr>
      <w:r>
        <w:t>b)</w:t>
      </w:r>
      <w:r>
        <w:tab/>
      </w:r>
      <w:r w:rsidR="00642A42" w:rsidRPr="00AA77C7">
        <w:t>zvyšovat účast na kulturním životě v celé Evropě;</w:t>
      </w:r>
    </w:p>
    <w:p w:rsidR="006D052F" w:rsidRPr="00AA77C7" w:rsidRDefault="0047299D" w:rsidP="0047299D">
      <w:pPr>
        <w:pStyle w:val="Point1"/>
      </w:pPr>
      <w:r>
        <w:t>c)</w:t>
      </w:r>
      <w:r>
        <w:tab/>
      </w:r>
      <w:r w:rsidR="00642A42" w:rsidRPr="00AA77C7">
        <w:t>prosazovat odolnost společnosti a sociální začleňování prostřednictvím kultury a kulturního dědictví;</w:t>
      </w:r>
    </w:p>
    <w:p w:rsidR="00642A42" w:rsidRPr="00AA77C7" w:rsidRDefault="0047299D" w:rsidP="0047299D">
      <w:pPr>
        <w:pStyle w:val="Point1"/>
      </w:pPr>
      <w:r>
        <w:t>d)</w:t>
      </w:r>
      <w:r>
        <w:tab/>
      </w:r>
      <w:r w:rsidR="00642A42" w:rsidRPr="00AA77C7">
        <w:t xml:space="preserve">zvyšovat schopnost evropských kulturních a kreativních odvětví prosperovat a vytvářet pracovní místa a růst; </w:t>
      </w:r>
    </w:p>
    <w:p w:rsidR="006D052F" w:rsidRPr="00AA77C7" w:rsidRDefault="0047299D" w:rsidP="0047299D">
      <w:pPr>
        <w:pStyle w:val="Point1"/>
      </w:pPr>
      <w:r>
        <w:t>e)</w:t>
      </w:r>
      <w:r>
        <w:tab/>
      </w:r>
      <w:r w:rsidR="00642A42" w:rsidRPr="00AA77C7">
        <w:t>posilovat evropskou identitu a hodnoty prostřednictvím kulturního povědomí, uměleckého vzdělávání a na kultuře založené kreativity ve vzdělávání;</w:t>
      </w:r>
    </w:p>
    <w:p w:rsidR="00642A42" w:rsidRPr="00AA77C7" w:rsidRDefault="0047299D" w:rsidP="0047299D">
      <w:pPr>
        <w:pStyle w:val="Point1"/>
      </w:pPr>
      <w:r>
        <w:t>f)</w:t>
      </w:r>
      <w:r>
        <w:tab/>
      </w:r>
      <w:r w:rsidR="00642A42" w:rsidRPr="00AA77C7">
        <w:t>podporovat mezinárodní budování kapacit evropských kulturních a kreativních odvětví, aby byly aktivní na mezinárodní úrovni;</w:t>
      </w:r>
    </w:p>
    <w:p w:rsidR="0021319F" w:rsidRPr="00AA77C7" w:rsidRDefault="0047299D" w:rsidP="0047299D">
      <w:pPr>
        <w:pStyle w:val="Point1"/>
      </w:pPr>
      <w:r>
        <w:t>g)</w:t>
      </w:r>
      <w:r>
        <w:tab/>
      </w:r>
      <w:r w:rsidR="0021319F" w:rsidRPr="00AA77C7">
        <w:t>přispívat ke globální strategii Unie pro mezinárodní vztahy prostřednictvím kulturní diplomacie.</w:t>
      </w:r>
    </w:p>
    <w:p w:rsidR="00966048" w:rsidRPr="00AA77C7" w:rsidRDefault="00966048" w:rsidP="00546A76">
      <w:r w:rsidRPr="00AA77C7">
        <w:t>Podrobný popis priorit je stanoven v příloze I.</w:t>
      </w:r>
    </w:p>
    <w:p w:rsidR="00013FDD" w:rsidRPr="00AA77C7" w:rsidRDefault="00013FDD" w:rsidP="00DF68BF">
      <w:pPr>
        <w:pStyle w:val="Titrearticle"/>
      </w:pPr>
      <w:r w:rsidRPr="00AA77C7">
        <w:t>Článek 5</w:t>
      </w:r>
      <w:r w:rsidRPr="00AA77C7">
        <w:br/>
        <w:t>Složka MEDIA</w:t>
      </w:r>
    </w:p>
    <w:p w:rsidR="00013FDD" w:rsidRPr="00AA77C7" w:rsidRDefault="00013FDD" w:rsidP="00013FDD">
      <w:r w:rsidRPr="00AA77C7">
        <w:t>V souladu s cíli uvedenými v článku 3 má složka „MEDIA“ tyto priority:</w:t>
      </w:r>
    </w:p>
    <w:p w:rsidR="00013FDD" w:rsidRPr="00AA77C7" w:rsidRDefault="0047299D" w:rsidP="0047299D">
      <w:pPr>
        <w:pStyle w:val="Point1"/>
      </w:pPr>
      <w:r>
        <w:lastRenderedPageBreak/>
        <w:t>a)</w:t>
      </w:r>
      <w:r>
        <w:tab/>
      </w:r>
      <w:r w:rsidR="006662F0" w:rsidRPr="00AA77C7">
        <w:t xml:space="preserve">pěstovat talent a dovednosti a stimulovat spolupráci a inovaci při tvorbě a produkci evropských audiovizuálních děl; </w:t>
      </w:r>
    </w:p>
    <w:p w:rsidR="00013FDD" w:rsidRPr="00AA77C7" w:rsidRDefault="0047299D" w:rsidP="0047299D">
      <w:pPr>
        <w:pStyle w:val="Point1"/>
      </w:pPr>
      <w:r>
        <w:t>b)</w:t>
      </w:r>
      <w:r>
        <w:tab/>
      </w:r>
      <w:r w:rsidR="006662F0" w:rsidRPr="00AA77C7">
        <w:t xml:space="preserve">zlepšovat distribuci v kinech i online a poskytovat širší přeshraniční přístup k evropským audiovizuálním dílům, a to i prostřednictvím inovativních podnikatelských modelů a využíváním nových technologií; </w:t>
      </w:r>
    </w:p>
    <w:p w:rsidR="00013FDD" w:rsidRPr="00AA77C7" w:rsidRDefault="0047299D" w:rsidP="0047299D">
      <w:pPr>
        <w:pStyle w:val="Point1"/>
      </w:pPr>
      <w:r>
        <w:t>c)</w:t>
      </w:r>
      <w:r>
        <w:tab/>
      </w:r>
      <w:r w:rsidR="006662F0" w:rsidRPr="00AA77C7">
        <w:t>prosazovat evropská audiovizuální díla a podporovat rozvoj publika v celé Evropě i za jejími hranicemi.</w:t>
      </w:r>
    </w:p>
    <w:p w:rsidR="003A0631" w:rsidRPr="00AA77C7" w:rsidRDefault="003A0631" w:rsidP="009D6918">
      <w:r w:rsidRPr="00AA77C7">
        <w:t xml:space="preserve">Tyto priority jsou plněny podporou tvorby, propagace, dostupnosti a šíření evropských děl s potenciálem oslovit široké publikum v Evropě i za jejími hranicemi, a tedy přizpůsobováním se novému vývoji na trhu a doplňováním směrnice o audiovizuálních mediálních službách. </w:t>
      </w:r>
    </w:p>
    <w:p w:rsidR="00966048" w:rsidRPr="00AA77C7" w:rsidRDefault="00966048" w:rsidP="00546A76">
      <w:r w:rsidRPr="00AA77C7">
        <w:t>Podrobný popis priorit je stanoven v příloze I.</w:t>
      </w:r>
    </w:p>
    <w:p w:rsidR="00013FDD" w:rsidRPr="00AA77C7" w:rsidRDefault="00013FDD" w:rsidP="00DF68BF">
      <w:pPr>
        <w:pStyle w:val="Titrearticle"/>
      </w:pPr>
      <w:r w:rsidRPr="00AA77C7">
        <w:t>Článek 6</w:t>
      </w:r>
      <w:r w:rsidRPr="00AA77C7">
        <w:br/>
        <w:t xml:space="preserve">MEZIODVĚTVOVÁ složka </w:t>
      </w:r>
    </w:p>
    <w:p w:rsidR="00013FDD" w:rsidRPr="00AA77C7" w:rsidRDefault="00013FDD" w:rsidP="00013FDD">
      <w:r w:rsidRPr="00AA77C7">
        <w:t>V souladu s cíli programu uvedenými v článku 3 má „MEZIODVĚTVOVÁ složka“ tyto priority:</w:t>
      </w:r>
    </w:p>
    <w:p w:rsidR="00E83CCD" w:rsidRPr="00AA77C7" w:rsidRDefault="0047299D" w:rsidP="0047299D">
      <w:pPr>
        <w:pStyle w:val="Point1"/>
      </w:pPr>
      <w:r>
        <w:t>a)</w:t>
      </w:r>
      <w:r>
        <w:tab/>
      </w:r>
      <w:r w:rsidR="00264C08" w:rsidRPr="00AA77C7">
        <w:t xml:space="preserve">podporovat meziodvětvovou nadnárodní spolupráci v oblasti politik, včetně role, jakou kultura hraje v sociálním začleňování, a podporovat povědomí o programu a přenositelnost výsledků; </w:t>
      </w:r>
    </w:p>
    <w:p w:rsidR="00013FDD" w:rsidRPr="00AA77C7" w:rsidRDefault="0047299D" w:rsidP="0047299D">
      <w:pPr>
        <w:pStyle w:val="Point1"/>
      </w:pPr>
      <w:r>
        <w:t>b)</w:t>
      </w:r>
      <w:r>
        <w:tab/>
      </w:r>
      <w:r w:rsidR="00013FDD" w:rsidRPr="00AA77C7">
        <w:t xml:space="preserve">prosazovat inovativní přístupy k tvorbě, dostupnosti, distribuce a propagace obsahu napříč kulturními a kreativními odvětvími; </w:t>
      </w:r>
    </w:p>
    <w:p w:rsidR="00CB11B0" w:rsidRPr="00AA77C7" w:rsidRDefault="0047299D" w:rsidP="0047299D">
      <w:pPr>
        <w:pStyle w:val="Point1"/>
      </w:pPr>
      <w:r>
        <w:t>c)</w:t>
      </w:r>
      <w:r>
        <w:tab/>
      </w:r>
      <w:r w:rsidR="00CB11B0" w:rsidRPr="00AA77C7">
        <w:t>prosazovat průřezové činnosti zahrnující několik odvětví s cílem přizpůsobovat se strukturálním změnám, s nimiž se mediální odvětví potýká, včetně podpory svobodného, rozmanitého a pluralistického mediálního prostředí, kvalitní žurnalistiky a mediální gramotnosti;</w:t>
      </w:r>
    </w:p>
    <w:p w:rsidR="00013FDD" w:rsidRPr="00AA77C7" w:rsidRDefault="0047299D" w:rsidP="0047299D">
      <w:pPr>
        <w:pStyle w:val="Point1"/>
      </w:pPr>
      <w:r>
        <w:t>d)</w:t>
      </w:r>
      <w:r>
        <w:tab/>
      </w:r>
      <w:r w:rsidR="00013FDD" w:rsidRPr="00AA77C7">
        <w:t>zřizovat a podporovat informační kanceláře programu, které budou propagovat program ve své zemi a stimulovat přeshraniční spolupráci v rámci kulturních a kreativních odvětví.</w:t>
      </w:r>
    </w:p>
    <w:p w:rsidR="00966048" w:rsidRPr="00AA77C7" w:rsidRDefault="00966048" w:rsidP="00E15C20">
      <w:r w:rsidRPr="00AA77C7">
        <w:t>Podrobný popis priorit je stanoven v příloze I.</w:t>
      </w:r>
    </w:p>
    <w:p w:rsidR="00013FDD" w:rsidRPr="00AA77C7" w:rsidRDefault="00013FDD" w:rsidP="00DF68BF">
      <w:pPr>
        <w:pStyle w:val="Titrearticle"/>
      </w:pPr>
      <w:r w:rsidRPr="00AA77C7">
        <w:t>Článek 7</w:t>
      </w:r>
      <w:r w:rsidRPr="00AA77C7">
        <w:br/>
        <w:t xml:space="preserve">Rozpočet </w:t>
      </w:r>
    </w:p>
    <w:p w:rsidR="00013FDD" w:rsidRPr="00AA77C7" w:rsidRDefault="00013FDD" w:rsidP="004F0427">
      <w:pPr>
        <w:pStyle w:val="NumPar1"/>
        <w:numPr>
          <w:ilvl w:val="0"/>
          <w:numId w:val="16"/>
        </w:numPr>
      </w:pPr>
      <w:r w:rsidRPr="00AA77C7">
        <w:t>Finanční krytí pro provádění programu na období 2021–2027 činí 1 850 000 000 EUR v běžných cenách.</w:t>
      </w:r>
    </w:p>
    <w:p w:rsidR="00013FDD" w:rsidRPr="00AA77C7" w:rsidRDefault="00013FDD" w:rsidP="00CB55E2">
      <w:pPr>
        <w:pStyle w:val="Text1"/>
      </w:pPr>
      <w:r w:rsidRPr="00AA77C7">
        <w:t xml:space="preserve">Program se provádí podle následujícího orientačního finančního rozdělení: </w:t>
      </w:r>
    </w:p>
    <w:p w:rsidR="006662F0" w:rsidRPr="00AA77C7" w:rsidRDefault="006A70C2" w:rsidP="00E15C20">
      <w:pPr>
        <w:pStyle w:val="ListDash2"/>
      </w:pPr>
      <w:r w:rsidRPr="00AA77C7">
        <w:t>až do výše 609 000 000 EUR u cíle uvedeného v čl. 3 odst. 2 písm. a) (složka KULTURA),</w:t>
      </w:r>
    </w:p>
    <w:p w:rsidR="006662F0" w:rsidRPr="00AA77C7" w:rsidRDefault="006A70C2" w:rsidP="00E15C20">
      <w:pPr>
        <w:pStyle w:val="ListDash2"/>
      </w:pPr>
      <w:r w:rsidRPr="00AA77C7">
        <w:t>až do výše 1 081 000 000 EUR u cíle uvedeného v čl. 3 odst. 2 písm. b) (složka MEDIA),</w:t>
      </w:r>
    </w:p>
    <w:p w:rsidR="008868AB" w:rsidRPr="00AA77C7" w:rsidRDefault="006A70C2" w:rsidP="00FE305B">
      <w:pPr>
        <w:pStyle w:val="ListDash2"/>
      </w:pPr>
      <w:r w:rsidRPr="00AA77C7">
        <w:t>až do výše 160 000 000 EUR u činností uvedených v čl. 3 odst. 2 písm. c) (MEZIODVĚTVOVÁ složka).</w:t>
      </w:r>
    </w:p>
    <w:p w:rsidR="008D55CC" w:rsidRPr="00AA77C7" w:rsidRDefault="00836A01" w:rsidP="004F0427">
      <w:pPr>
        <w:pStyle w:val="NumPar1"/>
        <w:numPr>
          <w:ilvl w:val="0"/>
          <w:numId w:val="16"/>
        </w:numPr>
      </w:pPr>
      <w:r w:rsidRPr="00AA77C7">
        <w:t>Částku uvedenou v odstavci 1 lze použít na technickou a správní pomoc určenou pro provádění programu, jako jsou přípravné, monitorovací, kontrolní, auditní a hodnoticí činnosti, včetně systémů informačních technologií na úrovni organizace.</w:t>
      </w:r>
    </w:p>
    <w:p w:rsidR="00293A8D" w:rsidRPr="00AA77C7" w:rsidRDefault="00293A8D" w:rsidP="004F0427">
      <w:pPr>
        <w:pStyle w:val="NumPar1"/>
        <w:numPr>
          <w:ilvl w:val="0"/>
          <w:numId w:val="16"/>
        </w:numPr>
      </w:pPr>
      <w:r w:rsidRPr="00AA77C7">
        <w:t xml:space="preserve">Kromě finančního krytí uvedeného v odstavci 1 a za účelem prosazování mezinárodního rozměru programu mohou být uvolněny další finanční příspěvky z nástrojů financování vnější </w:t>
      </w:r>
      <w:r w:rsidRPr="00AA77C7">
        <w:lastRenderedPageBreak/>
        <w:t>činnosti [nástroj pro sousedství, rozvoj a mezinárodní spolupráci, nástroj předvstupní pomoci (IPA III)] na podporu činností prováděných a řízených v souladu s tímto nařízením. Tento příspěvek je financován v souladu s nařízeními, jimiž se zřizují uvedené nástroje.</w:t>
      </w:r>
    </w:p>
    <w:p w:rsidR="00293A8D" w:rsidRPr="00AA77C7" w:rsidRDefault="00293A8D" w:rsidP="004F0427">
      <w:pPr>
        <w:pStyle w:val="NumPar1"/>
        <w:numPr>
          <w:ilvl w:val="0"/>
          <w:numId w:val="16"/>
        </w:numPr>
      </w:pPr>
      <w:r w:rsidRPr="00AA77C7">
        <w:t>Do programu mohou být na žádost členských států převedeny zdroje, jež jim byly přiděleny v rámci sdíleného řízení. Komise tyto zdroje vynakládá přímo v souladu s [čl. 62 odst. 1 písm. a)] finančního nařízení, nebo nepřímo v souladu [čl. 62 odst. 1 písm. c)] uvedeného nařízení. Tyto zdroje se pokud možno použijí ve prospěch dotčeného členského státu.</w:t>
      </w:r>
    </w:p>
    <w:p w:rsidR="00013FDD" w:rsidRPr="00AA77C7" w:rsidRDefault="00013FDD" w:rsidP="00893119">
      <w:pPr>
        <w:pStyle w:val="Titrearticle"/>
      </w:pPr>
      <w:r w:rsidRPr="00AA77C7">
        <w:t>Článek 8</w:t>
      </w:r>
      <w:r w:rsidRPr="00AA77C7">
        <w:br/>
        <w:t xml:space="preserve">Třetí země přidružené k programu </w:t>
      </w:r>
    </w:p>
    <w:p w:rsidR="00815360" w:rsidRPr="00AA77C7" w:rsidRDefault="007E5473" w:rsidP="00CB55E2">
      <w:pPr>
        <w:spacing w:before="0"/>
        <w:rPr>
          <w:rFonts w:eastAsia="Times New Roman"/>
          <w:szCs w:val="20"/>
        </w:rPr>
      </w:pPr>
      <w:r w:rsidRPr="00AA77C7">
        <w:t xml:space="preserve">1. </w:t>
      </w:r>
      <w:r w:rsidRPr="00AA77C7">
        <w:tab/>
        <w:t>Program je otevřen těmto třetím zemím:</w:t>
      </w:r>
    </w:p>
    <w:p w:rsidR="00815360" w:rsidRPr="00AA77C7" w:rsidRDefault="0047299D" w:rsidP="0047299D">
      <w:pPr>
        <w:pStyle w:val="Point0"/>
      </w:pPr>
      <w:r>
        <w:t>a)</w:t>
      </w:r>
      <w:r>
        <w:tab/>
      </w:r>
      <w:r w:rsidR="00815360" w:rsidRPr="00AA77C7">
        <w:t>členům Evropského sdružení volného obchodu (ESVO), kteří jsou členy Evropského hospodářského prostoru (EHP), v souladu s podmínkami stanovenými v Dohodě o EHP;</w:t>
      </w:r>
    </w:p>
    <w:p w:rsidR="007E5473" w:rsidRPr="00AA77C7" w:rsidRDefault="0047299D" w:rsidP="0047299D">
      <w:pPr>
        <w:pStyle w:val="Point0"/>
      </w:pPr>
      <w:r>
        <w:t>b)</w:t>
      </w:r>
      <w:r>
        <w:tab/>
      </w:r>
      <w:r w:rsidR="00815360" w:rsidRPr="00AA77C7">
        <w:t>přistupujícím zemím, kandidátským zemím a potenciálním kandidátům v souladu s obecnými zásadami a obecnými podmínkami pro účast těchto zemí v programech Unie stanovených v příslušných rámcových dohodách a rozhodnutích Rady přidružení nebo obdobných dohodách a v souladu se zvláštními podmínkami stanovenými v dohodách mezi Unií a těmito zeměmi;</w:t>
      </w:r>
    </w:p>
    <w:p w:rsidR="00815360" w:rsidRPr="00AA77C7" w:rsidRDefault="0047299D" w:rsidP="0047299D">
      <w:pPr>
        <w:pStyle w:val="Point0"/>
      </w:pPr>
      <w:r>
        <w:t>c)</w:t>
      </w:r>
      <w:r>
        <w:tab/>
      </w:r>
      <w:r w:rsidR="00815360" w:rsidRPr="00AA77C7">
        <w:t>zemím, na něž se vztahuje evropská politika sousedství, v souladu s obecnými zásadami a obecnými podmínkami pro účast těchto zemí v programech Unie stanovených v příslušných rámcových dohodách a rozhodnutích Rady přidružení nebo obdobných dohodách a v souladu se zvláštními podmínkami stanovenými v dohodách mezi Unií a těmito zeměmi;</w:t>
      </w:r>
    </w:p>
    <w:p w:rsidR="00815360" w:rsidRPr="00AA77C7" w:rsidRDefault="0047299D" w:rsidP="0047299D">
      <w:pPr>
        <w:pStyle w:val="Point0"/>
      </w:pPr>
      <w:r>
        <w:t>d)</w:t>
      </w:r>
      <w:r>
        <w:tab/>
      </w:r>
      <w:r w:rsidR="007C4302" w:rsidRPr="00AA77C7">
        <w:t>jiným zemím v souladu s podmínkami stanovenými ve zvláštní jediné dohodě vztahující se na účast třetí země v některém programu Unie za předpokladu, že dohoda:</w:t>
      </w:r>
    </w:p>
    <w:p w:rsidR="00815360" w:rsidRPr="00AA77C7" w:rsidRDefault="0047299D" w:rsidP="0047299D">
      <w:pPr>
        <w:pStyle w:val="Point1"/>
      </w:pPr>
      <w:r>
        <w:t>a)</w:t>
      </w:r>
      <w:r>
        <w:tab/>
      </w:r>
      <w:r w:rsidR="00815360" w:rsidRPr="00AA77C7">
        <w:t>zajišťuje spravedlivou rovnováhu mezi příspěvky a výhodami účasti třetí země, která se účastní programů Unie;</w:t>
      </w:r>
    </w:p>
    <w:p w:rsidR="00815360" w:rsidRPr="00AA77C7" w:rsidRDefault="0047299D" w:rsidP="0047299D">
      <w:pPr>
        <w:pStyle w:val="Point1"/>
      </w:pPr>
      <w:r>
        <w:t>b)</w:t>
      </w:r>
      <w:r>
        <w:tab/>
      </w:r>
      <w:r w:rsidR="00815360" w:rsidRPr="00AA77C7">
        <w:t>stanoví podmínky účasti v programech, včetně výpočtu finančních příspěvků na jednotlivé programy a jejich administrativní náklady. Tyto příspěvky představují v souladu s [čl. 21 odst. 5 nového finančního nařízení] účelově vázané příjmy;</w:t>
      </w:r>
    </w:p>
    <w:p w:rsidR="00815360" w:rsidRPr="00AA77C7" w:rsidRDefault="0047299D" w:rsidP="0047299D">
      <w:pPr>
        <w:pStyle w:val="Point1"/>
      </w:pPr>
      <w:r>
        <w:t>c)</w:t>
      </w:r>
      <w:r>
        <w:tab/>
      </w:r>
      <w:r w:rsidR="00815360" w:rsidRPr="00AA77C7">
        <w:t>neuděluje třetí zemi ohledně daného programu rozhodovací pravomoc;</w:t>
      </w:r>
    </w:p>
    <w:p w:rsidR="007E5473" w:rsidRPr="00AA77C7" w:rsidRDefault="0047299D" w:rsidP="0047299D">
      <w:pPr>
        <w:pStyle w:val="Point1"/>
      </w:pPr>
      <w:r>
        <w:t>d)</w:t>
      </w:r>
      <w:r>
        <w:tab/>
      </w:r>
      <w:r w:rsidR="00815360" w:rsidRPr="00AA77C7">
        <w:t>zaručuje právo Unie zajistit řádné finanční řízení a chránit svoje finanční zájmy.</w:t>
      </w:r>
    </w:p>
    <w:p w:rsidR="00EB7FBC" w:rsidRPr="00AA77C7" w:rsidRDefault="007E5473" w:rsidP="007E5473">
      <w:pPr>
        <w:spacing w:before="0"/>
      </w:pPr>
      <w:r w:rsidRPr="00AA77C7">
        <w:t xml:space="preserve">2. Účast zemí uvedených v odst. 1 písm. a), b) a c) na složce MEDIA a MEZIODVĚTVOVÉ složce podléhá splnění podmínek stanovených ve směrnici 2010/13/EU. </w:t>
      </w:r>
    </w:p>
    <w:p w:rsidR="000E1F99" w:rsidRPr="00AA77C7" w:rsidRDefault="001F007B" w:rsidP="007E5473">
      <w:pPr>
        <w:spacing w:before="0"/>
      </w:pPr>
      <w:r w:rsidRPr="00AA77C7">
        <w:t xml:space="preserve">3. Dohody uzavřené se zeměmi uvedenými v odst. 1 písm. c) se mohou v řádně odůvodněných případech odchýlit od povinností stanovených v odstavci 2. </w:t>
      </w:r>
    </w:p>
    <w:p w:rsidR="00C87CA3" w:rsidRPr="00AA77C7" w:rsidRDefault="00C87CA3" w:rsidP="00710638">
      <w:pPr>
        <w:keepNext/>
        <w:keepLines/>
        <w:spacing w:before="0"/>
        <w:jc w:val="center"/>
        <w:rPr>
          <w:i/>
        </w:rPr>
      </w:pPr>
      <w:r w:rsidRPr="00AA77C7">
        <w:rPr>
          <w:i/>
        </w:rPr>
        <w:t xml:space="preserve">Článek 8a </w:t>
      </w:r>
    </w:p>
    <w:p w:rsidR="00C87CA3" w:rsidRPr="00AA77C7" w:rsidRDefault="00C87CA3" w:rsidP="00710638">
      <w:pPr>
        <w:keepNext/>
        <w:keepLines/>
        <w:spacing w:before="0"/>
        <w:jc w:val="center"/>
        <w:rPr>
          <w:i/>
        </w:rPr>
      </w:pPr>
      <w:r w:rsidRPr="00AA77C7">
        <w:rPr>
          <w:i/>
        </w:rPr>
        <w:t>Jiné třetí země</w:t>
      </w:r>
    </w:p>
    <w:p w:rsidR="00815360" w:rsidRPr="00AA77C7" w:rsidRDefault="00C87CA3" w:rsidP="007E5473">
      <w:pPr>
        <w:spacing w:before="0"/>
      </w:pPr>
      <w:r w:rsidRPr="00AA77C7">
        <w:t>Program může podporovat spolupráci s jinými třetími zeměmi než těmi, které jsou uvedeny v článku 8, pokud jde o opatření financovaná prostřednictvím dalších příspěvků z nástrojů financování vnější činnosti v souladu s čl. 7 odst. 3, je-li to v zájmu Unie.</w:t>
      </w:r>
    </w:p>
    <w:p w:rsidR="0054189D" w:rsidRPr="00AA77C7" w:rsidRDefault="0054189D" w:rsidP="0054189D">
      <w:pPr>
        <w:pStyle w:val="Titrearticle"/>
      </w:pPr>
      <w:r w:rsidRPr="00AA77C7">
        <w:lastRenderedPageBreak/>
        <w:t>Článek 9</w:t>
      </w:r>
      <w:r w:rsidRPr="00AA77C7">
        <w:br/>
        <w:t>Spolupráce s mezinárodními organizacemi a Evropskou audiovizuální observatoří</w:t>
      </w:r>
    </w:p>
    <w:p w:rsidR="00013FDD" w:rsidRPr="00AA77C7" w:rsidRDefault="00013FDD" w:rsidP="004F0427">
      <w:pPr>
        <w:pStyle w:val="NumPar1"/>
        <w:numPr>
          <w:ilvl w:val="0"/>
          <w:numId w:val="21"/>
        </w:numPr>
      </w:pPr>
      <w:r w:rsidRPr="00AA77C7">
        <w:t>Přístup k programu je otevřen mezinárodním organizacím, které působí v oblastech zahrnutých v programu v souladu s finančním nařízením.</w:t>
      </w:r>
    </w:p>
    <w:p w:rsidR="00CB11B0" w:rsidRPr="00AA77C7" w:rsidRDefault="00CB11B0" w:rsidP="004F0427">
      <w:pPr>
        <w:pStyle w:val="NumPar1"/>
        <w:numPr>
          <w:ilvl w:val="0"/>
          <w:numId w:val="21"/>
        </w:numPr>
      </w:pPr>
      <w:r w:rsidRPr="00AA77C7">
        <w:t xml:space="preserve">Unie je členem Evropské audiovizuální observatoře po dobu trvání programu. Účast Unie na observatoři přispívá k dosažení priorit složky MEDIA. Při jednáních s observatoří zastupuje Unii Komise. Platba příspěvku za členství Unie v observatoři, které má za cíl podporovat sběr a analýzu dat v audiovizuálním odvětví, je hrazena ze složky MEDIA. </w:t>
      </w:r>
    </w:p>
    <w:p w:rsidR="00013FDD" w:rsidRPr="00AA77C7" w:rsidRDefault="00013FDD" w:rsidP="00893119">
      <w:pPr>
        <w:pStyle w:val="Titrearticle"/>
      </w:pPr>
      <w:r w:rsidRPr="00AA77C7">
        <w:t>Článek 10</w:t>
      </w:r>
      <w:r w:rsidRPr="00AA77C7">
        <w:br/>
        <w:t>Provádění a formy financování z prostředků EU</w:t>
      </w:r>
    </w:p>
    <w:p w:rsidR="00013FDD" w:rsidRPr="00AA77C7" w:rsidRDefault="00013FDD" w:rsidP="004F0427">
      <w:pPr>
        <w:pStyle w:val="NumPar1"/>
        <w:numPr>
          <w:ilvl w:val="0"/>
          <w:numId w:val="22"/>
        </w:numPr>
      </w:pPr>
      <w:r w:rsidRPr="00AA77C7">
        <w:t>Program se provádí v rámci přímého řízení v souladu s finančním nařízením nebo v rámci nepřímého řízení společně se subjekty uvedenými v čl. 61 odst. 1 písm. c) finančního nařízení.</w:t>
      </w:r>
    </w:p>
    <w:p w:rsidR="00013FDD" w:rsidRPr="00AA77C7" w:rsidRDefault="00013FDD" w:rsidP="004F0427">
      <w:pPr>
        <w:pStyle w:val="NumPar1"/>
        <w:numPr>
          <w:ilvl w:val="0"/>
          <w:numId w:val="22"/>
        </w:numPr>
      </w:pPr>
      <w:r w:rsidRPr="00AA77C7">
        <w:t>Program může poskytovat financování jednou z forem stanovených ve finančním nařízení, zejména formou grantů, cen a zadávání veřejných zakázek. Zároveň může poskytovat financování formou finančních nástrojů v rámci operací kombinování zdrojů.</w:t>
      </w:r>
    </w:p>
    <w:p w:rsidR="0061453A" w:rsidRPr="00AA77C7" w:rsidRDefault="005B31CC" w:rsidP="004F0427">
      <w:pPr>
        <w:pStyle w:val="NumPar1"/>
        <w:numPr>
          <w:ilvl w:val="0"/>
          <w:numId w:val="22"/>
        </w:numPr>
      </w:pPr>
      <w:r w:rsidRPr="00AA77C7">
        <w:t>Operace kombinování zdrojů v rámci tohoto programu se provádějí v souladu s [nařízením o fondu InvestEU] a hlavou X finančního nařízení.</w:t>
      </w:r>
    </w:p>
    <w:p w:rsidR="00180BB6" w:rsidRPr="00AA77C7" w:rsidRDefault="00180BB6" w:rsidP="004F0427">
      <w:pPr>
        <w:pStyle w:val="NumPar1"/>
        <w:numPr>
          <w:ilvl w:val="0"/>
          <w:numId w:val="22"/>
        </w:numPr>
      </w:pPr>
      <w:r w:rsidRPr="00AA77C7">
        <w:t>Příspěvky do vzájemného pojišťovacího mechanismu mohou pokrývat rizika spojená se zpětným získáváním prostředků dlužných příjemci a lze je považovat za dostatečnou záruku podle finančního nařízení. Použijí se ustanovení stanovená v [článku X] nařízení XXX [</w:t>
      </w:r>
      <w:r w:rsidRPr="00AA77C7">
        <w:rPr>
          <w:i/>
        </w:rPr>
        <w:t>nástupce nařízení o záručním fondu</w:t>
      </w:r>
      <w:r w:rsidRPr="00AA77C7">
        <w:t>].</w:t>
      </w:r>
    </w:p>
    <w:p w:rsidR="003C4F03" w:rsidRPr="00AA77C7" w:rsidRDefault="0061453A" w:rsidP="003C4F03">
      <w:pPr>
        <w:pStyle w:val="Titrearticle"/>
      </w:pPr>
      <w:r w:rsidRPr="00AA77C7">
        <w:t>Článek 11</w:t>
      </w:r>
      <w:r w:rsidRPr="00AA77C7">
        <w:br/>
        <w:t>Ochrana finančních zájmů Unie</w:t>
      </w:r>
    </w:p>
    <w:p w:rsidR="00F846D6" w:rsidRPr="00AA77C7" w:rsidRDefault="00F846D6" w:rsidP="00710638">
      <w:pPr>
        <w:spacing w:before="0"/>
      </w:pPr>
      <w:r w:rsidRPr="00AA77C7">
        <w:t>Pokud se programu účastní třetí země na základě mezinárodní dohody nebo jiného právního nástroje, udělí tato třetí země nezbytná práva a přístup, které příslušná schvalující osoba, Evropský úřad pro boj proti podvodům (OLAF) a Evropský účetní dvůr potřebují k tomu, aby mohly komplexně vykonávat své pravomoci. V případě úřadu OLAF tato práva zahrnují právo provádět vyšetřování, včetně kontrol a inspekcí na místě, stanovené nařízením (EU, Euratom) č. 883/2013.</w:t>
      </w:r>
    </w:p>
    <w:p w:rsidR="007424E9" w:rsidRPr="00AA77C7" w:rsidRDefault="007424E9" w:rsidP="007424E9">
      <w:pPr>
        <w:keepNext/>
        <w:spacing w:before="360"/>
        <w:jc w:val="center"/>
        <w:rPr>
          <w:i/>
        </w:rPr>
      </w:pPr>
      <w:r w:rsidRPr="00AA77C7">
        <w:rPr>
          <w:i/>
        </w:rPr>
        <w:t>Článek 12</w:t>
      </w:r>
      <w:r w:rsidRPr="00AA77C7">
        <w:rPr>
          <w:i/>
        </w:rPr>
        <w:br/>
        <w:t>Pracovní programy</w:t>
      </w:r>
    </w:p>
    <w:p w:rsidR="007424E9" w:rsidRPr="00AA77C7" w:rsidRDefault="007424E9" w:rsidP="004F0427">
      <w:pPr>
        <w:pStyle w:val="NumPar1"/>
        <w:numPr>
          <w:ilvl w:val="0"/>
          <w:numId w:val="23"/>
        </w:numPr>
      </w:pPr>
      <w:r w:rsidRPr="00AA77C7">
        <w:t>Program se provádí prostřednictvím pracovních programů uvedených v článku 110 finančního nařízení. V pracovních programech se případně stanoví celková částka vyhrazená pro operace kombinování zdrojů.</w:t>
      </w:r>
    </w:p>
    <w:p w:rsidR="005B31CC" w:rsidRPr="00AA77C7" w:rsidRDefault="007424E9" w:rsidP="004F0427">
      <w:pPr>
        <w:pStyle w:val="NumPar1"/>
        <w:numPr>
          <w:ilvl w:val="0"/>
          <w:numId w:val="23"/>
        </w:numPr>
      </w:pPr>
      <w:r w:rsidRPr="00AA77C7">
        <w:t>Pracovní program přijme Komise prostřednictvím prováděcího aktu.</w:t>
      </w:r>
    </w:p>
    <w:p w:rsidR="00013FDD" w:rsidRPr="00AA77C7" w:rsidRDefault="00013FDD" w:rsidP="00893119">
      <w:pPr>
        <w:pStyle w:val="ChapterTitle"/>
      </w:pPr>
      <w:r w:rsidRPr="00AA77C7">
        <w:t>K</w:t>
      </w:r>
      <w:r w:rsidR="00297234">
        <w:t>apitola</w:t>
      </w:r>
      <w:r w:rsidRPr="00AA77C7">
        <w:t xml:space="preserve"> II</w:t>
      </w:r>
      <w:r w:rsidRPr="00AA77C7">
        <w:br/>
        <w:t xml:space="preserve">Granty a způsobilé subjekty </w:t>
      </w:r>
    </w:p>
    <w:p w:rsidR="00557A73" w:rsidRPr="00AA77C7" w:rsidRDefault="00557A73" w:rsidP="00557A73">
      <w:pPr>
        <w:keepNext/>
        <w:spacing w:before="360"/>
        <w:jc w:val="center"/>
        <w:rPr>
          <w:i/>
        </w:rPr>
      </w:pPr>
      <w:r w:rsidRPr="00AA77C7">
        <w:rPr>
          <w:i/>
        </w:rPr>
        <w:t>Článek 13</w:t>
      </w:r>
      <w:r w:rsidRPr="00AA77C7">
        <w:rPr>
          <w:i/>
        </w:rPr>
        <w:br/>
        <w:t>Granty</w:t>
      </w:r>
    </w:p>
    <w:p w:rsidR="0026292D" w:rsidRPr="00AA77C7" w:rsidRDefault="00557A73" w:rsidP="004F0427">
      <w:pPr>
        <w:pStyle w:val="NumPar1"/>
        <w:numPr>
          <w:ilvl w:val="0"/>
          <w:numId w:val="20"/>
        </w:numPr>
      </w:pPr>
      <w:r w:rsidRPr="00AA77C7">
        <w:t xml:space="preserve">Granty v rámci programu se udělují a spravují v souladu s hlavou VIII finančního nařízení. </w:t>
      </w:r>
    </w:p>
    <w:p w:rsidR="0026292D" w:rsidRPr="00AA77C7" w:rsidRDefault="00557A73" w:rsidP="004F0427">
      <w:pPr>
        <w:pStyle w:val="NumPar1"/>
        <w:numPr>
          <w:ilvl w:val="0"/>
          <w:numId w:val="20"/>
        </w:numPr>
      </w:pPr>
      <w:r w:rsidRPr="00AA77C7">
        <w:lastRenderedPageBreak/>
        <w:t xml:space="preserve">Hodnotící výbor může být složen z externích odborníků. </w:t>
      </w:r>
    </w:p>
    <w:p w:rsidR="007C4302" w:rsidRPr="00AA77C7" w:rsidRDefault="00557A73" w:rsidP="004F0427">
      <w:pPr>
        <w:pStyle w:val="NumPar1"/>
        <w:numPr>
          <w:ilvl w:val="0"/>
          <w:numId w:val="20"/>
        </w:numPr>
      </w:pPr>
      <w:r w:rsidRPr="00AA77C7">
        <w:t>Odchylně od [čl. 130 odst. 2] finančního nařízení a v řádně odůvodněných případech mohou být za způsobilé považovány náklady, které vznikly příjemci před podáním žádosti o grant, pokud se přímo vztahují k provádění podporovaných opatření a činností.</w:t>
      </w:r>
    </w:p>
    <w:p w:rsidR="007C4302" w:rsidRPr="00AA77C7" w:rsidRDefault="007C4302" w:rsidP="004F0427">
      <w:pPr>
        <w:pStyle w:val="NumPar1"/>
        <w:numPr>
          <w:ilvl w:val="0"/>
          <w:numId w:val="20"/>
        </w:numPr>
      </w:pPr>
      <w:r w:rsidRPr="00AA77C7">
        <w:t xml:space="preserve">Ve vhodných případech opatření programu definují vhodná kritéria rovného zacházení včetně genderové vyváženosti. </w:t>
      </w:r>
    </w:p>
    <w:p w:rsidR="00557A73" w:rsidRPr="00AA77C7" w:rsidRDefault="00557A73" w:rsidP="00557A73">
      <w:pPr>
        <w:keepNext/>
        <w:spacing w:before="360"/>
        <w:jc w:val="center"/>
        <w:rPr>
          <w:i/>
        </w:rPr>
      </w:pPr>
      <w:r w:rsidRPr="00AA77C7">
        <w:rPr>
          <w:i/>
        </w:rPr>
        <w:t>Článek 14</w:t>
      </w:r>
      <w:r w:rsidRPr="00AA77C7">
        <w:rPr>
          <w:i/>
        </w:rPr>
        <w:br/>
        <w:t xml:space="preserve">Způsobilé subjekty </w:t>
      </w:r>
    </w:p>
    <w:p w:rsidR="000467F6" w:rsidRPr="00AA77C7" w:rsidRDefault="00557A73" w:rsidP="004F0427">
      <w:pPr>
        <w:pStyle w:val="NumPar1"/>
        <w:numPr>
          <w:ilvl w:val="0"/>
          <w:numId w:val="19"/>
        </w:numPr>
      </w:pPr>
      <w:r w:rsidRPr="00AA77C7">
        <w:t xml:space="preserve">Kromě kritérií stanovených v [článku 197] finančního nařízení se použijí kritéria způsobilosti stanovená v odstavcích 2 až 4. </w:t>
      </w:r>
    </w:p>
    <w:p w:rsidR="00557A73" w:rsidRPr="00AA77C7" w:rsidRDefault="00557A73" w:rsidP="004F0427">
      <w:pPr>
        <w:pStyle w:val="NumPar1"/>
        <w:numPr>
          <w:ilvl w:val="0"/>
          <w:numId w:val="19"/>
        </w:numPr>
      </w:pPr>
      <w:r w:rsidRPr="00AA77C7">
        <w:t>Způsobilé jsou tyto subjekty:</w:t>
      </w:r>
    </w:p>
    <w:p w:rsidR="00557A73" w:rsidRPr="00AA77C7" w:rsidRDefault="005C0387" w:rsidP="005C0387">
      <w:pPr>
        <w:pStyle w:val="Point1"/>
      </w:pPr>
      <w:r>
        <w:t>a)</w:t>
      </w:r>
      <w:r>
        <w:tab/>
      </w:r>
      <w:r w:rsidR="00557A73" w:rsidRPr="00AA77C7">
        <w:t>právní subjekty usazené v jedné z těchto zemí:</w:t>
      </w:r>
    </w:p>
    <w:p w:rsidR="00557A73" w:rsidRPr="00AA77C7" w:rsidRDefault="005C0387" w:rsidP="005C0387">
      <w:pPr>
        <w:pStyle w:val="Point3"/>
      </w:pPr>
      <w:r>
        <w:t>1)</w:t>
      </w:r>
      <w:r>
        <w:tab/>
      </w:r>
      <w:r w:rsidR="00557A73" w:rsidRPr="00AA77C7">
        <w:t xml:space="preserve">členském státě nebo zámořské zemi nebo území s ním spojeném; </w:t>
      </w:r>
    </w:p>
    <w:p w:rsidR="00557A73" w:rsidRPr="00AA77C7" w:rsidRDefault="005C0387" w:rsidP="005C0387">
      <w:pPr>
        <w:pStyle w:val="Point3"/>
      </w:pPr>
      <w:r>
        <w:t>2)</w:t>
      </w:r>
      <w:r>
        <w:tab/>
      </w:r>
      <w:r w:rsidR="00557A73" w:rsidRPr="00AA77C7">
        <w:t>třetí zemi přidružené k programu;</w:t>
      </w:r>
    </w:p>
    <w:p w:rsidR="00557A73" w:rsidRPr="00AA77C7" w:rsidRDefault="005C0387" w:rsidP="005C0387">
      <w:pPr>
        <w:pStyle w:val="Point3"/>
      </w:pPr>
      <w:r>
        <w:t>3)</w:t>
      </w:r>
      <w:r>
        <w:tab/>
      </w:r>
      <w:r w:rsidR="00557A73" w:rsidRPr="00AA77C7">
        <w:t xml:space="preserve">třetí zemi uvedené v pracovním programu za podmínek stanovených v odstavcích 3 a 4; </w:t>
      </w:r>
    </w:p>
    <w:p w:rsidR="005529A8" w:rsidRPr="00AA77C7" w:rsidRDefault="005C0387" w:rsidP="005C0387">
      <w:pPr>
        <w:pStyle w:val="Point1"/>
      </w:pPr>
      <w:r>
        <w:t>b)</w:t>
      </w:r>
      <w:r>
        <w:tab/>
      </w:r>
      <w:r w:rsidR="00557A73" w:rsidRPr="00AA77C7">
        <w:t>jakýkoli právní subjekt založený podle práva Unie nebo jakákoli mezinárodní organizace.</w:t>
      </w:r>
    </w:p>
    <w:p w:rsidR="000467F6" w:rsidRPr="00AA77C7" w:rsidRDefault="00557A73" w:rsidP="004F0427">
      <w:pPr>
        <w:pStyle w:val="NumPar1"/>
        <w:numPr>
          <w:ilvl w:val="0"/>
          <w:numId w:val="19"/>
        </w:numPr>
      </w:pPr>
      <w:r w:rsidRPr="00AA77C7">
        <w:t>Právní subjekty usazené ve třetí zemi, která není přidružena k programu, jsou ve výjimečných případech způsobilé k účasti, pokud je to nezbytné pro dosažení cílů daného opatření.</w:t>
      </w:r>
    </w:p>
    <w:p w:rsidR="00014CAC" w:rsidRPr="00AA77C7" w:rsidRDefault="008A3611" w:rsidP="004F0427">
      <w:pPr>
        <w:pStyle w:val="NumPar1"/>
        <w:numPr>
          <w:ilvl w:val="0"/>
          <w:numId w:val="19"/>
        </w:numPr>
      </w:pPr>
      <w:r w:rsidRPr="00AA77C7">
        <w:t>Právní subjekty usazené ve třetí zemi, která není přidružena k programu, by obecně měly nést náklady své účasti. Náklady jejich účasti mohou pokrýt další příspěvky z nástrojů financování vnější činnosti podle čl. 7 odst. 3, je-li to v zájmu Unie.</w:t>
      </w:r>
    </w:p>
    <w:p w:rsidR="000467F6" w:rsidRPr="00AA77C7" w:rsidRDefault="00557A73" w:rsidP="004F0427">
      <w:pPr>
        <w:pStyle w:val="NumPar1"/>
        <w:keepNext/>
        <w:keepLines/>
        <w:numPr>
          <w:ilvl w:val="0"/>
          <w:numId w:val="19"/>
        </w:numPr>
      </w:pPr>
      <w:r w:rsidRPr="00AA77C7">
        <w:t xml:space="preserve">Těmto subjektům mohou být uděleny granty bez výzvy k podávání návrhů: </w:t>
      </w:r>
    </w:p>
    <w:p w:rsidR="000467F6" w:rsidRPr="00AA77C7" w:rsidRDefault="005C0387" w:rsidP="005C0387">
      <w:pPr>
        <w:pStyle w:val="Point1"/>
      </w:pPr>
      <w:r>
        <w:t>a)</w:t>
      </w:r>
      <w:r>
        <w:tab/>
      </w:r>
      <w:r w:rsidR="00557A73" w:rsidRPr="00AA77C7">
        <w:t xml:space="preserve">Evropská filmová akademie; </w:t>
      </w:r>
    </w:p>
    <w:p w:rsidR="000467F6" w:rsidRPr="00AA77C7" w:rsidRDefault="005C0387" w:rsidP="005C0387">
      <w:pPr>
        <w:pStyle w:val="Point1"/>
      </w:pPr>
      <w:r>
        <w:t>b)</w:t>
      </w:r>
      <w:r>
        <w:tab/>
      </w:r>
      <w:r w:rsidR="00557A73" w:rsidRPr="00AA77C7">
        <w:t>Orchestr mladých Evropské unie.</w:t>
      </w:r>
    </w:p>
    <w:p w:rsidR="00557A73" w:rsidRPr="00AA77C7" w:rsidRDefault="00AC7D97" w:rsidP="00557A73">
      <w:pPr>
        <w:keepNext/>
        <w:spacing w:after="360"/>
        <w:jc w:val="center"/>
        <w:rPr>
          <w:b/>
          <w:i/>
          <w:sz w:val="32"/>
        </w:rPr>
      </w:pPr>
      <w:r w:rsidRPr="00AA77C7">
        <w:rPr>
          <w:b/>
          <w:sz w:val="32"/>
        </w:rPr>
        <w:lastRenderedPageBreak/>
        <w:t>K</w:t>
      </w:r>
      <w:r w:rsidR="00297234">
        <w:rPr>
          <w:b/>
          <w:sz w:val="32"/>
        </w:rPr>
        <w:t>apitola</w:t>
      </w:r>
      <w:r w:rsidRPr="00AA77C7">
        <w:rPr>
          <w:b/>
          <w:sz w:val="32"/>
        </w:rPr>
        <w:t xml:space="preserve"> III</w:t>
      </w:r>
      <w:r w:rsidRPr="00AA77C7">
        <w:rPr>
          <w:b/>
          <w:sz w:val="32"/>
        </w:rPr>
        <w:br/>
        <w:t xml:space="preserve">Synergie a doplňkovost </w:t>
      </w:r>
    </w:p>
    <w:p w:rsidR="00AF2F13" w:rsidRPr="00AA77C7" w:rsidRDefault="00557A73" w:rsidP="00AF2F13">
      <w:pPr>
        <w:keepNext/>
        <w:spacing w:before="360"/>
        <w:jc w:val="center"/>
        <w:rPr>
          <w:i/>
        </w:rPr>
      </w:pPr>
      <w:r w:rsidRPr="00AA77C7">
        <w:rPr>
          <w:i/>
        </w:rPr>
        <w:t>Článek 15</w:t>
      </w:r>
      <w:r w:rsidRPr="00AA77C7">
        <w:rPr>
          <w:i/>
        </w:rPr>
        <w:br/>
        <w:t>Doplňkovost</w:t>
      </w:r>
    </w:p>
    <w:p w:rsidR="00557A73" w:rsidRPr="00AA77C7" w:rsidRDefault="00557A73" w:rsidP="00AF2F13">
      <w:pPr>
        <w:keepNext/>
        <w:spacing w:before="360"/>
        <w:rPr>
          <w:i/>
        </w:rPr>
      </w:pPr>
      <w:r w:rsidRPr="00AA77C7">
        <w:t xml:space="preserve">Komise ve spolupráci s členskými státy zajistí celkový soulad a doplňkovost programu s příslušnými politikami a programy, zejména těmi, jež souvisejí s genderovou vyvážeností, vzděláváním, mládeží a solidaritou, zaměstnaností a sociálním začleňováním, výzkumem a inovacemi, průmyslem a podnikáním, zemědělstvím a rozvojem venkova, životním prostředím a opatřeními v oblasti klimatu, soudržností, regionální a městskou politikou, státní podporou a mezinárodní spoluprací a rozvojem. </w:t>
      </w:r>
    </w:p>
    <w:p w:rsidR="00557A73" w:rsidRPr="00AA77C7" w:rsidRDefault="00557A73" w:rsidP="00557A73">
      <w:pPr>
        <w:keepNext/>
        <w:spacing w:before="360"/>
        <w:jc w:val="center"/>
        <w:rPr>
          <w:i/>
        </w:rPr>
      </w:pPr>
      <w:r w:rsidRPr="00AA77C7">
        <w:rPr>
          <w:i/>
        </w:rPr>
        <w:t>Článek 16</w:t>
      </w:r>
      <w:r w:rsidRPr="00AA77C7">
        <w:rPr>
          <w:i/>
        </w:rPr>
        <w:br/>
        <w:t>Kumulativní a kombinované financování</w:t>
      </w:r>
    </w:p>
    <w:p w:rsidR="00DD0017" w:rsidRPr="00AA77C7" w:rsidRDefault="00557A73" w:rsidP="004F0427">
      <w:pPr>
        <w:pStyle w:val="NumPar1"/>
        <w:numPr>
          <w:ilvl w:val="0"/>
          <w:numId w:val="17"/>
        </w:numPr>
      </w:pPr>
      <w:r w:rsidRPr="00AA77C7">
        <w:t xml:space="preserve">Na opatření, na něž byl získán příspěvek v rámci programu, lze rovněž získat příspěvek z jakéhokoli jiného programu Unie, včetně fondů podle nařízení (EU) XX/XXXX [CPR], pokud tyto příspěvky nepokrývají tytéž náklady. Kumulativní financování nesmí překročit celkové způsobilé náklady opatření a podporu z různých programů Unie lze vypočítat proporcionálně. </w:t>
      </w:r>
    </w:p>
    <w:p w:rsidR="000C04DB" w:rsidRPr="00AA77C7" w:rsidRDefault="00AD52DA" w:rsidP="004F0427">
      <w:pPr>
        <w:pStyle w:val="NumPar1"/>
        <w:numPr>
          <w:ilvl w:val="0"/>
          <w:numId w:val="17"/>
        </w:numPr>
      </w:pPr>
      <w:r w:rsidRPr="00AA77C7">
        <w:t>Návrhu, který je v rámci programu způsobilý, může být udělena pečeť excelence za předpokladu, že splňuje tyto kumulativní podmínky:</w:t>
      </w:r>
    </w:p>
    <w:p w:rsidR="00557A73" w:rsidRPr="00AA77C7" w:rsidRDefault="00C16162" w:rsidP="00C16162">
      <w:pPr>
        <w:pStyle w:val="Point1"/>
      </w:pPr>
      <w:r>
        <w:t>a)</w:t>
      </w:r>
      <w:r>
        <w:tab/>
      </w:r>
      <w:r w:rsidR="000C04DB" w:rsidRPr="00AA77C7">
        <w:t>byl posouzen v rámci výzvy k podávání návrhů podle tohoto programu;</w:t>
      </w:r>
    </w:p>
    <w:p w:rsidR="00557A73" w:rsidRPr="00AA77C7" w:rsidRDefault="00C16162" w:rsidP="00C16162">
      <w:pPr>
        <w:pStyle w:val="Point1"/>
      </w:pPr>
      <w:r>
        <w:t>b)</w:t>
      </w:r>
      <w:r>
        <w:tab/>
      </w:r>
      <w:r w:rsidR="000C04DB" w:rsidRPr="00AA77C7">
        <w:t>splňuje minimální požadavky na kvalitu dané touto výzvou k podávání návrhů;</w:t>
      </w:r>
    </w:p>
    <w:p w:rsidR="001966BA" w:rsidRPr="00AA77C7" w:rsidRDefault="00C16162" w:rsidP="00C16162">
      <w:pPr>
        <w:pStyle w:val="Point1"/>
      </w:pPr>
      <w:r>
        <w:t>c)</w:t>
      </w:r>
      <w:r>
        <w:tab/>
      </w:r>
      <w:r w:rsidR="00D464EE" w:rsidRPr="00AA77C7">
        <w:t>nesmí být financován v rámci dané výzvy k podávání návrhů z důvodu rozpočtových omezení.</w:t>
      </w:r>
    </w:p>
    <w:p w:rsidR="00557A73" w:rsidRPr="00AA77C7" w:rsidRDefault="00557A73" w:rsidP="00557A73">
      <w:pPr>
        <w:keepNext/>
        <w:spacing w:after="360"/>
        <w:jc w:val="center"/>
        <w:rPr>
          <w:b/>
          <w:sz w:val="32"/>
        </w:rPr>
      </w:pPr>
      <w:r w:rsidRPr="00AA77C7">
        <w:rPr>
          <w:b/>
          <w:sz w:val="32"/>
        </w:rPr>
        <w:t>K</w:t>
      </w:r>
      <w:r w:rsidR="003B6A6C">
        <w:rPr>
          <w:b/>
          <w:sz w:val="32"/>
        </w:rPr>
        <w:t>apitola</w:t>
      </w:r>
      <w:r w:rsidRPr="00AA77C7">
        <w:rPr>
          <w:b/>
          <w:sz w:val="32"/>
        </w:rPr>
        <w:t xml:space="preserve"> IV</w:t>
      </w:r>
      <w:r w:rsidRPr="00AA77C7">
        <w:rPr>
          <w:b/>
          <w:sz w:val="32"/>
        </w:rPr>
        <w:br/>
        <w:t>Monitorování, hodnocení a kontrola</w:t>
      </w:r>
    </w:p>
    <w:p w:rsidR="00557A73" w:rsidRPr="00AA77C7" w:rsidRDefault="00557A73" w:rsidP="00557A73">
      <w:pPr>
        <w:keepNext/>
        <w:spacing w:before="360"/>
        <w:jc w:val="center"/>
        <w:rPr>
          <w:i/>
        </w:rPr>
      </w:pPr>
      <w:r w:rsidRPr="00AA77C7">
        <w:rPr>
          <w:i/>
        </w:rPr>
        <w:t>Článek 17</w:t>
      </w:r>
      <w:r w:rsidRPr="00AA77C7">
        <w:rPr>
          <w:i/>
        </w:rPr>
        <w:br/>
        <w:t>Monitorování a vykazování</w:t>
      </w:r>
    </w:p>
    <w:p w:rsidR="00557A73" w:rsidRPr="00AA77C7" w:rsidRDefault="00557A73" w:rsidP="004F0427">
      <w:pPr>
        <w:pStyle w:val="NumPar1"/>
        <w:numPr>
          <w:ilvl w:val="0"/>
          <w:numId w:val="26"/>
        </w:numPr>
      </w:pPr>
      <w:r w:rsidRPr="00AA77C7">
        <w:t xml:space="preserve">Ukazatele pro vykazování pokroku dosaženého při plnění cílů programu stanovených v článku 3 jsou uvedeny v příloze II. </w:t>
      </w:r>
    </w:p>
    <w:p w:rsidR="00557A73" w:rsidRPr="00AA77C7" w:rsidRDefault="00D3057C" w:rsidP="00A01EB9">
      <w:pPr>
        <w:pStyle w:val="NumPar1"/>
        <w:rPr>
          <w:i/>
          <w:szCs w:val="24"/>
        </w:rPr>
      </w:pPr>
      <w:r w:rsidRPr="00AA77C7">
        <w:t xml:space="preserve">K zajištění účinného posouzení pokroku dosaženého v provádění programu při plnění jeho cílů je Komisi svěřena pravomoc přijímat akty v přenesené pravomoci v souladu s článkem 19 za účelem vypracování ustanovení pro monitorovací a hodnotící rámec, včetně změn přílohy II za účelem přezkumu nebo doplnění těchto ukazatelů, je-li to pro monitorování a hodnocení nezbytné. </w:t>
      </w:r>
    </w:p>
    <w:p w:rsidR="00557A73" w:rsidRPr="00AA77C7" w:rsidRDefault="00557A73" w:rsidP="00A01EB9">
      <w:pPr>
        <w:pStyle w:val="NumPar1"/>
      </w:pPr>
      <w:r w:rsidRPr="00AA77C7">
        <w:t>Systém vykazování výkonnosti zajistí, aby údaje pro monitorování provádění programu a jeho výsledků byly shromažďovány účinně, efektivně a včas. Za tímto účelem se příjemcům finančních prostředků Unie a případně členským státům uloží přiměřené požadavky na vykazování.</w:t>
      </w:r>
    </w:p>
    <w:p w:rsidR="00557A73" w:rsidRPr="00AA77C7" w:rsidRDefault="00557A73" w:rsidP="00557A73">
      <w:pPr>
        <w:keepNext/>
        <w:spacing w:before="360"/>
        <w:jc w:val="center"/>
        <w:rPr>
          <w:i/>
        </w:rPr>
      </w:pPr>
      <w:r w:rsidRPr="00AA77C7">
        <w:rPr>
          <w:i/>
        </w:rPr>
        <w:lastRenderedPageBreak/>
        <w:t>Článek 18</w:t>
      </w:r>
      <w:r w:rsidRPr="00AA77C7">
        <w:rPr>
          <w:i/>
        </w:rPr>
        <w:br/>
        <w:t>Hodnocení</w:t>
      </w:r>
    </w:p>
    <w:p w:rsidR="00557A73" w:rsidRPr="00AA77C7" w:rsidRDefault="00557A73" w:rsidP="004F0427">
      <w:pPr>
        <w:pStyle w:val="NumPar1"/>
        <w:numPr>
          <w:ilvl w:val="0"/>
          <w:numId w:val="18"/>
        </w:numPr>
        <w:spacing w:before="100" w:beforeAutospacing="1"/>
      </w:pPr>
      <w:r w:rsidRPr="00AA77C7">
        <w:t>Hodnocení se provádějí včas tak, aby je bylo možné promítnout do rozhodovacího procesu.</w:t>
      </w:r>
    </w:p>
    <w:p w:rsidR="00557A73" w:rsidRPr="00AA77C7" w:rsidRDefault="00557A73" w:rsidP="00A01EB9">
      <w:pPr>
        <w:pStyle w:val="NumPar1"/>
      </w:pPr>
      <w:r w:rsidRPr="00AA77C7">
        <w:t>Průběžné hodnocení programu se provede, jakmile je k dispozici dostatek informací o jeho provádění, avšak nejpozději do čtyř let od začátku provádění programu.</w:t>
      </w:r>
    </w:p>
    <w:p w:rsidR="00557A73" w:rsidRPr="00AA77C7" w:rsidRDefault="00557A73" w:rsidP="00A01EB9">
      <w:pPr>
        <w:pStyle w:val="NumPar1"/>
      </w:pPr>
      <w:r w:rsidRPr="00AA77C7">
        <w:t>Na konci provádění programu, avšak nejpozději do čtyř let po skončení období uvedeného v článku 1 provede Komise závěrečné hodnocení programu.</w:t>
      </w:r>
    </w:p>
    <w:p w:rsidR="00557A73" w:rsidRPr="00AA77C7" w:rsidRDefault="00557A73" w:rsidP="00A01EB9">
      <w:pPr>
        <w:pStyle w:val="NumPar1"/>
      </w:pPr>
      <w:r w:rsidRPr="00AA77C7">
        <w:t xml:space="preserve">Komise sdělí závěry hodnocení spolu se svými připomínkami Evropskému parlamentu, Radě, Evropskému hospodářskému a sociálnímu výboru a Výboru regionů. </w:t>
      </w:r>
    </w:p>
    <w:p w:rsidR="00557A73" w:rsidRPr="00AA77C7" w:rsidRDefault="003C4F03" w:rsidP="00893119">
      <w:pPr>
        <w:pStyle w:val="NumPar1"/>
      </w:pPr>
      <w:r w:rsidRPr="00AA77C7">
        <w:t>Systém vykazování hodnocení zajistí, aby údaje pro hodnocení programu byly shromažďovány účinně, efektivně a včas a na vhodné úrovni detailu údajů. Tyto údaje a informace se sdělí Komisi způsobem, který je v souladu s ostatními právními ustanoveními; například osobní údaje musí být v případě potřeby anonymizovány. Za tímto účelem se příjemcům finančních prostředků Unie uloží přiměřené požadavky na vykazování.</w:t>
      </w:r>
    </w:p>
    <w:p w:rsidR="00013FDD" w:rsidRPr="00AA77C7" w:rsidRDefault="00013FDD" w:rsidP="00B21A2D">
      <w:pPr>
        <w:pStyle w:val="Titrearticle"/>
      </w:pPr>
      <w:r w:rsidRPr="00AA77C7">
        <w:t>Článek 19</w:t>
      </w:r>
      <w:r w:rsidRPr="00AA77C7">
        <w:br/>
        <w:t>Výkon přenesené pravomoci</w:t>
      </w:r>
    </w:p>
    <w:p w:rsidR="00013FDD" w:rsidRPr="00AA77C7" w:rsidRDefault="00013FDD" w:rsidP="004F0427">
      <w:pPr>
        <w:pStyle w:val="NumPar1"/>
        <w:numPr>
          <w:ilvl w:val="0"/>
          <w:numId w:val="6"/>
        </w:numPr>
      </w:pPr>
      <w:r w:rsidRPr="00AA77C7">
        <w:t>Pravomoc přijímat akty v přenesené pravomoci je svěřena Komisi za podmínek stanovených v tomto článku.</w:t>
      </w:r>
    </w:p>
    <w:p w:rsidR="00013FDD" w:rsidRPr="00AA77C7" w:rsidRDefault="00013FDD" w:rsidP="004F0427">
      <w:pPr>
        <w:pStyle w:val="NumPar1"/>
        <w:numPr>
          <w:ilvl w:val="0"/>
          <w:numId w:val="6"/>
        </w:numPr>
      </w:pPr>
      <w:r w:rsidRPr="00AA77C7">
        <w:t xml:space="preserve">Pravomoc přijímat akty v přenesené pravomoci uvedená v článku 17 je svěřena Komisi do 31. prosince 2028. </w:t>
      </w:r>
    </w:p>
    <w:p w:rsidR="00013FDD" w:rsidRPr="00AA77C7" w:rsidRDefault="00013FDD" w:rsidP="004F0427">
      <w:pPr>
        <w:pStyle w:val="NumPar1"/>
        <w:numPr>
          <w:ilvl w:val="0"/>
          <w:numId w:val="6"/>
        </w:numPr>
      </w:pPr>
      <w:r w:rsidRPr="00AA77C7">
        <w:t xml:space="preserve">Evropský parlament nebo Rada mohou přenesení pravomoci uvedené v článku 17 kdykoli zrušit. Rozhodnutím o zrušení se ukončuje přenesení pravomoci v něm blíže určené. Rozhodnutí nabývá účinku prvním dnem po zveřejnění v </w:t>
      </w:r>
      <w:r w:rsidRPr="00AA77C7">
        <w:rPr>
          <w:i/>
        </w:rPr>
        <w:t>Úředním věstníku Evropské unie</w:t>
      </w:r>
      <w:r w:rsidRPr="00AA77C7">
        <w:t>, nebo k pozdějšímu dni, který je v něm upřesněn. Nedotýká se platnosti již platných aktů v přenesené pravomoci.</w:t>
      </w:r>
    </w:p>
    <w:p w:rsidR="00013FDD" w:rsidRPr="00AA77C7" w:rsidRDefault="00013FDD" w:rsidP="004F0427">
      <w:pPr>
        <w:pStyle w:val="NumPar1"/>
        <w:numPr>
          <w:ilvl w:val="0"/>
          <w:numId w:val="6"/>
        </w:numPr>
      </w:pPr>
      <w:r w:rsidRPr="00AA77C7">
        <w:t>Před přijetím aktu v přenesené pravomoci vede Komise konzultace s odborníky jmenovanými jednotlivými členskými státy v souladu se zásadami stanovenými v interinstitucionální dohodě ze dne 13. dubna 2016 o zdokonalení tvorby právních předpisů.</w:t>
      </w:r>
    </w:p>
    <w:p w:rsidR="00013FDD" w:rsidRPr="00AA77C7" w:rsidRDefault="00013FDD" w:rsidP="004F0427">
      <w:pPr>
        <w:pStyle w:val="NumPar1"/>
        <w:numPr>
          <w:ilvl w:val="0"/>
          <w:numId w:val="6"/>
        </w:numPr>
      </w:pPr>
      <w:r w:rsidRPr="00AA77C7">
        <w:t xml:space="preserve">Přijetí aktu v přenesené pravomoci Komise neprodleně oznámí současně Evropskému parlamentu a Radě. </w:t>
      </w:r>
    </w:p>
    <w:p w:rsidR="00013FDD" w:rsidRPr="00AA77C7" w:rsidRDefault="00013FDD" w:rsidP="004F0427">
      <w:pPr>
        <w:pStyle w:val="NumPar1"/>
        <w:numPr>
          <w:ilvl w:val="0"/>
          <w:numId w:val="6"/>
        </w:numPr>
      </w:pPr>
      <w:r w:rsidRPr="00AA77C7">
        <w:t>Akt v přenesené pravomoci přijatý podle článku 17 vstoupí v platnost, pokud proti němu Evropský parlament nebo Rada nevysloví námitky ve lhůtě dvou měsíců ode dne, kdy jim byl tento akt oznámen, nebo pokud Evropský parlament i Rada před uplynutím této lhůty informují Komisi o tom, že námitky nevysloví. Z podnětu Evropského parlamentu nebo Rady se tato lhůta prodlouží o dva měsíce.</w:t>
      </w:r>
    </w:p>
    <w:p w:rsidR="00013FDD" w:rsidRPr="00AA77C7" w:rsidRDefault="00013FDD" w:rsidP="00B21A2D">
      <w:pPr>
        <w:pStyle w:val="ChapterTitle"/>
      </w:pPr>
      <w:r w:rsidRPr="00AA77C7">
        <w:lastRenderedPageBreak/>
        <w:t>Kapitola V</w:t>
      </w:r>
      <w:r w:rsidRPr="00AA77C7">
        <w:br/>
        <w:t xml:space="preserve">PŘECHODNÁ A ZÁVĚREČNÁ USTANOVENÍ </w:t>
      </w:r>
    </w:p>
    <w:p w:rsidR="00013FDD" w:rsidRPr="00AA77C7" w:rsidRDefault="00013FDD" w:rsidP="00B21A2D">
      <w:pPr>
        <w:pStyle w:val="Titrearticle"/>
      </w:pPr>
      <w:r w:rsidRPr="00AA77C7">
        <w:t>Článek 20</w:t>
      </w:r>
      <w:r w:rsidRPr="00AA77C7">
        <w:br/>
        <w:t>Informace, komunikace a publicita</w:t>
      </w:r>
    </w:p>
    <w:p w:rsidR="00ED2658" w:rsidRPr="00AA77C7" w:rsidRDefault="00ED2658" w:rsidP="004F0427">
      <w:pPr>
        <w:pStyle w:val="NumPar1"/>
        <w:numPr>
          <w:ilvl w:val="0"/>
          <w:numId w:val="24"/>
        </w:numPr>
      </w:pPr>
      <w:r w:rsidRPr="00AA77C7">
        <w:t>Příjemci finančních prostředků Unie uvádějí původ a zajišťují viditelnost těchto prostředků (zejména při propagaci opatření a jejich výsledků) tím, že poskytují ucelené, účinné a přiměřené informace různým cílovým skupinám včetně médií a veřejnosti.</w:t>
      </w:r>
    </w:p>
    <w:p w:rsidR="00013FDD" w:rsidRPr="00AA77C7" w:rsidRDefault="00013FDD" w:rsidP="004F0427">
      <w:pPr>
        <w:pStyle w:val="NumPar1"/>
        <w:numPr>
          <w:ilvl w:val="0"/>
          <w:numId w:val="6"/>
        </w:numPr>
      </w:pPr>
      <w:r w:rsidRPr="00AA77C7">
        <w:t>Komise provádí k programu a jeho opatřením a výsledkům podporovaným prostřednictvím jeho složek informační a komunikační kampaně. Finanční zdroje vyčleněné na program rovněž přispívají ke sdělování politických priorit Unie na úrovni organizace, souvisejí-li s cíli uvedenými v článku 3.</w:t>
      </w:r>
    </w:p>
    <w:p w:rsidR="00013FDD" w:rsidRPr="00AA77C7" w:rsidRDefault="00013FDD" w:rsidP="00B21A2D">
      <w:pPr>
        <w:pStyle w:val="Titrearticle"/>
      </w:pPr>
      <w:r w:rsidRPr="00AA77C7">
        <w:t>Článek 21</w:t>
      </w:r>
      <w:r w:rsidRPr="00AA77C7">
        <w:br/>
        <w:t xml:space="preserve">Zrušení </w:t>
      </w:r>
    </w:p>
    <w:p w:rsidR="00013FDD" w:rsidRPr="00AA77C7" w:rsidRDefault="00BC4784" w:rsidP="00013FDD">
      <w:r w:rsidRPr="00AA77C7">
        <w:t>Nařízení (EU) č. 1295/2013 se zrušuje s účinkem ode dne 1. ledna 2021.</w:t>
      </w:r>
    </w:p>
    <w:p w:rsidR="00013FDD" w:rsidRPr="00AA77C7" w:rsidRDefault="00013FDD" w:rsidP="00B21A2D">
      <w:pPr>
        <w:pStyle w:val="Titrearticle"/>
      </w:pPr>
      <w:r w:rsidRPr="00AA77C7">
        <w:t>Článek 22</w:t>
      </w:r>
      <w:r w:rsidRPr="00AA77C7">
        <w:br/>
        <w:t xml:space="preserve">Přechodná ustanovení </w:t>
      </w:r>
    </w:p>
    <w:p w:rsidR="00013FDD" w:rsidRPr="00AA77C7" w:rsidRDefault="00013FDD" w:rsidP="004F0427">
      <w:pPr>
        <w:pStyle w:val="NumPar1"/>
        <w:numPr>
          <w:ilvl w:val="0"/>
          <w:numId w:val="7"/>
        </w:numPr>
      </w:pPr>
      <w:r w:rsidRPr="00AA77C7">
        <w:t>Tímto nařízením není dotčeno pokračování ani změna příslušných opatření až do jejich ukončení podle nařízení (EU) č. 1295/2013, které se na příslušná opatření použije až do jejich ukončení.</w:t>
      </w:r>
    </w:p>
    <w:p w:rsidR="00013FDD" w:rsidRPr="00AA77C7" w:rsidRDefault="00013FDD" w:rsidP="004F0427">
      <w:pPr>
        <w:pStyle w:val="NumPar1"/>
        <w:numPr>
          <w:ilvl w:val="0"/>
          <w:numId w:val="7"/>
        </w:numPr>
      </w:pPr>
      <w:r w:rsidRPr="00AA77C7">
        <w:t xml:space="preserve">Finanční krytí programu může zahrnovat i výdaje na technickou a správní pomoc nezbytné pro zajištění přechodu k programu od opatření přijatých podle nařízení (EU) č. 1295/2013. </w:t>
      </w:r>
    </w:p>
    <w:p w:rsidR="00013FDD" w:rsidRPr="00AA77C7" w:rsidRDefault="00013FDD" w:rsidP="004F0427">
      <w:pPr>
        <w:pStyle w:val="NumPar1"/>
        <w:numPr>
          <w:ilvl w:val="0"/>
          <w:numId w:val="7"/>
        </w:numPr>
      </w:pPr>
      <w:r w:rsidRPr="00AA77C7">
        <w:t>V případě potřeby lze do rozpočtu na období po roce 2027 začlenit i prostředky na pokrytí výdajů stanovených v čl. 7 odst. 4, aby bylo možno řídit opatření, jež nebudou dokončena do 31. prosince 2027.</w:t>
      </w:r>
    </w:p>
    <w:p w:rsidR="00013FDD" w:rsidRPr="00AA77C7" w:rsidRDefault="00013FDD" w:rsidP="00B21A2D">
      <w:pPr>
        <w:pStyle w:val="Titrearticle"/>
      </w:pPr>
      <w:r w:rsidRPr="00AA77C7">
        <w:t>Článek 23</w:t>
      </w:r>
      <w:r w:rsidRPr="00AA77C7">
        <w:br/>
        <w:t>Vstup v platnost</w:t>
      </w:r>
    </w:p>
    <w:p w:rsidR="00013FDD" w:rsidRPr="00AA77C7" w:rsidRDefault="00013FDD" w:rsidP="00013FDD">
      <w:pPr>
        <w:rPr>
          <w:i/>
        </w:rPr>
      </w:pPr>
      <w:r w:rsidRPr="00AA77C7">
        <w:t xml:space="preserve">Toto nařízení vstupuje v platnost dvacátým dnem po vyhlášení v </w:t>
      </w:r>
      <w:r w:rsidRPr="00AA77C7">
        <w:rPr>
          <w:i/>
        </w:rPr>
        <w:t>Úředním věstníku Evropské unie</w:t>
      </w:r>
      <w:r w:rsidRPr="00AA77C7">
        <w:t>.</w:t>
      </w:r>
    </w:p>
    <w:p w:rsidR="00013FDD" w:rsidRPr="00AA77C7" w:rsidRDefault="00013FDD" w:rsidP="00B13E7B">
      <w:pPr>
        <w:pStyle w:val="Applicationdirecte"/>
      </w:pPr>
      <w:r w:rsidRPr="00AA77C7">
        <w:t xml:space="preserve">Toto nařízení je závazné v celém rozsahu a přímo použitelné ve všech členských státech. </w:t>
      </w:r>
    </w:p>
    <w:p w:rsidR="00A24950" w:rsidRPr="00AA77C7" w:rsidRDefault="00DA02CA" w:rsidP="00DA02CA">
      <w:pPr>
        <w:pStyle w:val="Fait"/>
      </w:pPr>
      <w:r w:rsidRPr="00DA02CA">
        <w:t>V Bruselu dne</w:t>
      </w:r>
    </w:p>
    <w:p w:rsidR="00013FDD" w:rsidRPr="00AA77C7" w:rsidRDefault="00013FDD" w:rsidP="009934A2">
      <w:pPr>
        <w:pStyle w:val="Institutionquisigne"/>
        <w:tabs>
          <w:tab w:val="clear" w:pos="4252"/>
          <w:tab w:val="left" w:pos="5387"/>
        </w:tabs>
      </w:pPr>
      <w:r w:rsidRPr="00AA77C7">
        <w:t>Za Evropský parlament</w:t>
      </w:r>
      <w:r w:rsidRPr="00AA77C7">
        <w:tab/>
        <w:t>Za Radu</w:t>
      </w:r>
    </w:p>
    <w:p w:rsidR="00BF1F42" w:rsidRPr="00AA77C7" w:rsidRDefault="00013FDD" w:rsidP="00903139">
      <w:pPr>
        <w:pStyle w:val="Personnequisigne"/>
        <w:tabs>
          <w:tab w:val="clear" w:pos="4252"/>
          <w:tab w:val="left" w:pos="5387"/>
        </w:tabs>
      </w:pPr>
      <w:r w:rsidRPr="00AA77C7">
        <w:t>předseda</w:t>
      </w:r>
      <w:r w:rsidRPr="00AA77C7">
        <w:tab/>
        <w:t>předseda/předsedkyně</w:t>
      </w:r>
    </w:p>
    <w:p w:rsidR="00DF167D" w:rsidRPr="00AA77C7" w:rsidRDefault="006A5B18" w:rsidP="00DF167D">
      <w:pPr>
        <w:pStyle w:val="Fichefinanciretitre"/>
        <w:rPr>
          <w:rFonts w:eastAsia="Times New Roman"/>
        </w:rPr>
      </w:pPr>
      <w:r w:rsidRPr="00AA77C7">
        <w:br w:type="column"/>
      </w:r>
      <w:r w:rsidRPr="00AA77C7">
        <w:lastRenderedPageBreak/>
        <w:t>LEGISLATIVNÍ FINANČNÍ VÝKAZ</w:t>
      </w:r>
    </w:p>
    <w:p w:rsidR="00DF167D" w:rsidRPr="00AA77C7" w:rsidRDefault="00DF167D" w:rsidP="00DF167D">
      <w:pPr>
        <w:pStyle w:val="ManualHeading1"/>
        <w:rPr>
          <w:noProof/>
        </w:rPr>
      </w:pPr>
      <w:r w:rsidRPr="00AA77C7">
        <w:t>1.</w:t>
      </w:r>
      <w:r w:rsidRPr="00AA77C7">
        <w:tab/>
        <w:t xml:space="preserve">RÁMEC NÁVRHU/PODNĚTU </w:t>
      </w:r>
    </w:p>
    <w:p w:rsidR="00DF167D" w:rsidRPr="00AA77C7" w:rsidRDefault="00DF167D" w:rsidP="00DF167D">
      <w:pPr>
        <w:pStyle w:val="ManualHeading2"/>
        <w:rPr>
          <w:b w:val="0"/>
          <w:noProof/>
        </w:rPr>
      </w:pPr>
      <w:r w:rsidRPr="00AA77C7">
        <w:tab/>
      </w:r>
      <w:r w:rsidRPr="00AA77C7">
        <w:rPr>
          <w:b w:val="0"/>
          <w:noProof/>
        </w:rPr>
        <w:t>1.1.</w:t>
      </w:r>
      <w:r w:rsidRPr="00AA77C7">
        <w:tab/>
      </w:r>
      <w:r w:rsidRPr="00AA77C7">
        <w:rPr>
          <w:b w:val="0"/>
          <w:noProof/>
        </w:rPr>
        <w:t xml:space="preserve">Název návrhu/podnětu </w:t>
      </w:r>
    </w:p>
    <w:p w:rsidR="00DF167D" w:rsidRPr="00AA77C7" w:rsidRDefault="00DF167D" w:rsidP="00DF167D">
      <w:pPr>
        <w:pStyle w:val="ManualHeading2"/>
        <w:rPr>
          <w:b w:val="0"/>
          <w:noProof/>
        </w:rPr>
      </w:pPr>
      <w:r w:rsidRPr="00AA77C7">
        <w:tab/>
      </w:r>
      <w:r w:rsidRPr="00AA77C7">
        <w:rPr>
          <w:b w:val="0"/>
          <w:noProof/>
        </w:rPr>
        <w:t>1.2.</w:t>
      </w:r>
      <w:r w:rsidRPr="00AA77C7">
        <w:tab/>
      </w:r>
      <w:r w:rsidRPr="00AA77C7">
        <w:rPr>
          <w:b w:val="0"/>
          <w:noProof/>
        </w:rPr>
        <w:t xml:space="preserve">Příslušné oblasti politik </w:t>
      </w:r>
      <w:r w:rsidRPr="00AA77C7">
        <w:rPr>
          <w:b w:val="0"/>
          <w:i/>
          <w:noProof/>
        </w:rPr>
        <w:t>(skupina programů)</w:t>
      </w:r>
    </w:p>
    <w:p w:rsidR="00DF167D" w:rsidRPr="00AA77C7" w:rsidRDefault="00DF167D" w:rsidP="00DF167D">
      <w:pPr>
        <w:pStyle w:val="ManualHeading2"/>
        <w:rPr>
          <w:b w:val="0"/>
          <w:noProof/>
        </w:rPr>
      </w:pPr>
      <w:r w:rsidRPr="00AA77C7">
        <w:tab/>
      </w:r>
      <w:r w:rsidRPr="00AA77C7">
        <w:rPr>
          <w:b w:val="0"/>
          <w:noProof/>
        </w:rPr>
        <w:t>1.3.</w:t>
      </w:r>
      <w:r w:rsidRPr="00AA77C7">
        <w:tab/>
      </w:r>
      <w:r w:rsidRPr="00AA77C7">
        <w:rPr>
          <w:b w:val="0"/>
          <w:noProof/>
        </w:rPr>
        <w:t xml:space="preserve">Povaha návrhu/podnětu </w:t>
      </w:r>
    </w:p>
    <w:p w:rsidR="00DF167D" w:rsidRPr="00AA77C7" w:rsidRDefault="00DF167D" w:rsidP="00DF167D">
      <w:pPr>
        <w:pStyle w:val="ManualHeading2"/>
        <w:rPr>
          <w:b w:val="0"/>
          <w:noProof/>
        </w:rPr>
      </w:pPr>
      <w:r w:rsidRPr="00AA77C7">
        <w:tab/>
      </w:r>
      <w:r w:rsidRPr="00AA77C7">
        <w:rPr>
          <w:b w:val="0"/>
          <w:noProof/>
        </w:rPr>
        <w:t>1.4.</w:t>
      </w:r>
      <w:r w:rsidRPr="00AA77C7">
        <w:tab/>
      </w:r>
      <w:r w:rsidRPr="00AA77C7">
        <w:rPr>
          <w:b w:val="0"/>
          <w:noProof/>
        </w:rPr>
        <w:t xml:space="preserve">Odůvodnění návrhu/podnětu </w:t>
      </w:r>
    </w:p>
    <w:p w:rsidR="00DF167D" w:rsidRPr="00AA77C7" w:rsidRDefault="00DF167D" w:rsidP="00DF167D">
      <w:pPr>
        <w:pStyle w:val="ManualHeading2"/>
        <w:rPr>
          <w:b w:val="0"/>
          <w:noProof/>
        </w:rPr>
      </w:pPr>
      <w:r w:rsidRPr="00AA77C7">
        <w:tab/>
      </w:r>
      <w:r w:rsidRPr="00AA77C7">
        <w:rPr>
          <w:b w:val="0"/>
          <w:noProof/>
        </w:rPr>
        <w:t>1.5.</w:t>
      </w:r>
      <w:r w:rsidRPr="00AA77C7">
        <w:tab/>
      </w:r>
      <w:r w:rsidRPr="00AA77C7">
        <w:rPr>
          <w:b w:val="0"/>
          <w:noProof/>
        </w:rPr>
        <w:t xml:space="preserve">Doba trvání akce a finanční dopad </w:t>
      </w:r>
    </w:p>
    <w:p w:rsidR="00DF167D" w:rsidRPr="00AA77C7" w:rsidRDefault="00DF167D" w:rsidP="00DF167D">
      <w:pPr>
        <w:pStyle w:val="ManualHeading2"/>
        <w:rPr>
          <w:b w:val="0"/>
          <w:noProof/>
        </w:rPr>
      </w:pPr>
      <w:r w:rsidRPr="00AA77C7">
        <w:tab/>
      </w:r>
      <w:r w:rsidRPr="00AA77C7">
        <w:rPr>
          <w:b w:val="0"/>
          <w:noProof/>
        </w:rPr>
        <w:t>1.6.</w:t>
      </w:r>
      <w:r w:rsidRPr="00AA77C7">
        <w:tab/>
      </w:r>
      <w:r w:rsidRPr="00AA77C7">
        <w:rPr>
          <w:b w:val="0"/>
          <w:noProof/>
        </w:rPr>
        <w:t xml:space="preserve">Předpokládaný způsob řízení </w:t>
      </w:r>
    </w:p>
    <w:p w:rsidR="00DF167D" w:rsidRPr="00AA77C7" w:rsidRDefault="00DF167D" w:rsidP="00DF167D">
      <w:pPr>
        <w:pStyle w:val="ManualHeading1"/>
        <w:rPr>
          <w:noProof/>
        </w:rPr>
      </w:pPr>
      <w:r w:rsidRPr="00AA77C7">
        <w:t>2.</w:t>
      </w:r>
      <w:r w:rsidRPr="00AA77C7">
        <w:tab/>
        <w:t xml:space="preserve">SPRÁVNÍ OPATŘENÍ </w:t>
      </w:r>
    </w:p>
    <w:p w:rsidR="00DF167D" w:rsidRPr="00AA77C7" w:rsidRDefault="00DF167D" w:rsidP="00DF167D">
      <w:pPr>
        <w:pStyle w:val="ManualHeading2"/>
        <w:rPr>
          <w:b w:val="0"/>
          <w:noProof/>
        </w:rPr>
      </w:pPr>
      <w:r w:rsidRPr="00AA77C7">
        <w:tab/>
      </w:r>
      <w:r w:rsidRPr="00AA77C7">
        <w:rPr>
          <w:b w:val="0"/>
          <w:noProof/>
        </w:rPr>
        <w:t>2.1.</w:t>
      </w:r>
      <w:r w:rsidRPr="00AA77C7">
        <w:tab/>
      </w:r>
      <w:r w:rsidRPr="00AA77C7">
        <w:rPr>
          <w:b w:val="0"/>
          <w:noProof/>
        </w:rPr>
        <w:t xml:space="preserve">Pravidla pro sledování a podávání zpráv </w:t>
      </w:r>
    </w:p>
    <w:p w:rsidR="00DF167D" w:rsidRPr="00AA77C7" w:rsidRDefault="00DF167D" w:rsidP="00DF167D">
      <w:pPr>
        <w:pStyle w:val="ManualHeading2"/>
        <w:rPr>
          <w:b w:val="0"/>
          <w:noProof/>
        </w:rPr>
      </w:pPr>
      <w:r w:rsidRPr="00AA77C7">
        <w:tab/>
      </w:r>
      <w:r w:rsidRPr="00AA77C7">
        <w:rPr>
          <w:b w:val="0"/>
          <w:noProof/>
        </w:rPr>
        <w:t>2.2.</w:t>
      </w:r>
      <w:r w:rsidRPr="00AA77C7">
        <w:tab/>
      </w:r>
      <w:r w:rsidRPr="00AA77C7">
        <w:rPr>
          <w:b w:val="0"/>
          <w:noProof/>
        </w:rPr>
        <w:t xml:space="preserve">Systém řízení a kontroly </w:t>
      </w:r>
    </w:p>
    <w:p w:rsidR="00DF167D" w:rsidRPr="00AA77C7" w:rsidRDefault="00DF167D" w:rsidP="00DF167D">
      <w:pPr>
        <w:pStyle w:val="ManualHeading2"/>
        <w:rPr>
          <w:b w:val="0"/>
          <w:noProof/>
        </w:rPr>
      </w:pPr>
      <w:r w:rsidRPr="00AA77C7">
        <w:tab/>
      </w:r>
      <w:r w:rsidRPr="00AA77C7">
        <w:rPr>
          <w:b w:val="0"/>
          <w:noProof/>
        </w:rPr>
        <w:t>2.3.</w:t>
      </w:r>
      <w:r w:rsidRPr="00AA77C7">
        <w:tab/>
      </w:r>
      <w:r w:rsidRPr="00AA77C7">
        <w:rPr>
          <w:b w:val="0"/>
          <w:noProof/>
        </w:rPr>
        <w:t xml:space="preserve">Opatření k zamezení podvodů a nesrovnalostí </w:t>
      </w:r>
    </w:p>
    <w:p w:rsidR="00DF167D" w:rsidRPr="00AA77C7" w:rsidRDefault="00DF167D" w:rsidP="00DF167D">
      <w:pPr>
        <w:pStyle w:val="ManualHeading1"/>
        <w:rPr>
          <w:noProof/>
        </w:rPr>
      </w:pPr>
      <w:r w:rsidRPr="00AA77C7">
        <w:t>3.</w:t>
      </w:r>
      <w:r w:rsidRPr="00AA77C7">
        <w:tab/>
        <w:t xml:space="preserve">ODHADOVANÝ FINANČNÍ DOPAD NÁVRHU/PODNĚTU </w:t>
      </w:r>
    </w:p>
    <w:p w:rsidR="00DF167D" w:rsidRPr="00AA77C7" w:rsidRDefault="00DF167D" w:rsidP="00DF167D">
      <w:pPr>
        <w:pStyle w:val="ManualHeading2"/>
        <w:rPr>
          <w:b w:val="0"/>
          <w:noProof/>
        </w:rPr>
      </w:pPr>
      <w:r w:rsidRPr="00AA77C7">
        <w:tab/>
      </w:r>
      <w:r w:rsidRPr="00AA77C7">
        <w:rPr>
          <w:b w:val="0"/>
          <w:noProof/>
        </w:rPr>
        <w:t>3.1.</w:t>
      </w:r>
      <w:r w:rsidRPr="00AA77C7">
        <w:tab/>
      </w:r>
      <w:r w:rsidRPr="00AA77C7">
        <w:rPr>
          <w:b w:val="0"/>
          <w:noProof/>
        </w:rPr>
        <w:t xml:space="preserve">Okruhy víceletého finančního rámce a dotčené výdajové rozpočtové položky </w:t>
      </w:r>
    </w:p>
    <w:p w:rsidR="00DF167D" w:rsidRPr="00AA77C7" w:rsidRDefault="00DF167D" w:rsidP="00DF167D">
      <w:pPr>
        <w:pStyle w:val="ManualHeading2"/>
        <w:rPr>
          <w:noProof/>
        </w:rPr>
      </w:pPr>
      <w:r w:rsidRPr="00AA77C7">
        <w:tab/>
      </w:r>
      <w:r w:rsidRPr="00AA77C7">
        <w:rPr>
          <w:b w:val="0"/>
          <w:noProof/>
        </w:rPr>
        <w:t>3.2.</w:t>
      </w:r>
      <w:r w:rsidRPr="00AA77C7">
        <w:tab/>
      </w:r>
      <w:r w:rsidRPr="00AA77C7">
        <w:rPr>
          <w:b w:val="0"/>
          <w:noProof/>
        </w:rPr>
        <w:t>Odhadovaný dopad na výdaje</w:t>
      </w:r>
      <w:r w:rsidRPr="00AA77C7">
        <w:t xml:space="preserve"> </w:t>
      </w:r>
    </w:p>
    <w:p w:rsidR="00DF167D" w:rsidRPr="00AA77C7" w:rsidRDefault="00DF167D" w:rsidP="00DF167D">
      <w:pPr>
        <w:pStyle w:val="ManualHeading3"/>
        <w:rPr>
          <w:noProof/>
        </w:rPr>
      </w:pPr>
      <w:r w:rsidRPr="00AA77C7">
        <w:tab/>
        <w:t>3.2.1.</w:t>
      </w:r>
      <w:r w:rsidRPr="00AA77C7">
        <w:tab/>
        <w:t xml:space="preserve">Odhadovaný souhrnný dopad na výdaje </w:t>
      </w:r>
    </w:p>
    <w:p w:rsidR="00DF167D" w:rsidRPr="00AA77C7" w:rsidRDefault="00DF167D" w:rsidP="00DF167D">
      <w:pPr>
        <w:pStyle w:val="ManualHeading3"/>
        <w:rPr>
          <w:noProof/>
        </w:rPr>
      </w:pPr>
      <w:r w:rsidRPr="00AA77C7">
        <w:tab/>
        <w:t>3.2.2.</w:t>
      </w:r>
      <w:r w:rsidRPr="00AA77C7">
        <w:tab/>
        <w:t>Odhadovaný dopad na prostředky správní povahy</w:t>
      </w:r>
    </w:p>
    <w:p w:rsidR="00DF167D" w:rsidRPr="00AA77C7" w:rsidRDefault="00DF167D" w:rsidP="00DF167D">
      <w:pPr>
        <w:pStyle w:val="ManualHeading3"/>
        <w:rPr>
          <w:noProof/>
        </w:rPr>
      </w:pPr>
      <w:r w:rsidRPr="00AA77C7">
        <w:tab/>
        <w:t>3.2.3.</w:t>
      </w:r>
      <w:r w:rsidRPr="00AA77C7">
        <w:tab/>
        <w:t xml:space="preserve">Příspěvky třetích stran </w:t>
      </w:r>
    </w:p>
    <w:p w:rsidR="00DF167D" w:rsidRPr="00AA77C7" w:rsidRDefault="00DF167D" w:rsidP="00DF167D">
      <w:pPr>
        <w:pStyle w:val="ManualHeading2"/>
        <w:jc w:val="left"/>
        <w:rPr>
          <w:b w:val="0"/>
          <w:noProof/>
        </w:rPr>
        <w:sectPr w:rsidR="00DF167D" w:rsidRPr="00AA77C7" w:rsidSect="00DA02CA">
          <w:headerReference w:type="default" r:id="rId19"/>
          <w:footerReference w:type="default" r:id="rId20"/>
          <w:headerReference w:type="first" r:id="rId21"/>
          <w:footerReference w:type="first" r:id="rId22"/>
          <w:pgSz w:w="11907" w:h="16840" w:code="9"/>
          <w:pgMar w:top="709" w:right="992" w:bottom="851" w:left="993" w:header="709" w:footer="709" w:gutter="0"/>
          <w:pgNumType w:start="1"/>
          <w:cols w:space="720"/>
          <w:docGrid w:linePitch="360"/>
        </w:sectPr>
      </w:pPr>
      <w:r w:rsidRPr="00AA77C7">
        <w:tab/>
      </w:r>
      <w:r w:rsidRPr="00AA77C7">
        <w:rPr>
          <w:b w:val="0"/>
          <w:noProof/>
        </w:rPr>
        <w:t>3.3.</w:t>
      </w:r>
      <w:r w:rsidRPr="00AA77C7">
        <w:tab/>
      </w:r>
      <w:r w:rsidRPr="00AA77C7">
        <w:rPr>
          <w:b w:val="0"/>
          <w:noProof/>
        </w:rPr>
        <w:t>Odhadovaný dopad na příjmy</w:t>
      </w:r>
    </w:p>
    <w:p w:rsidR="00DF167D" w:rsidRPr="00AA77C7" w:rsidRDefault="00DF167D" w:rsidP="00DF167D">
      <w:pPr>
        <w:jc w:val="center"/>
        <w:rPr>
          <w:b/>
          <w:noProof/>
          <w:u w:val="single"/>
        </w:rPr>
      </w:pPr>
      <w:r w:rsidRPr="00AA77C7">
        <w:rPr>
          <w:b/>
          <w:noProof/>
          <w:u w:val="single"/>
        </w:rPr>
        <w:lastRenderedPageBreak/>
        <w:t>LEGISLATIVNÍ FINANČNÍ VÝKAZ</w:t>
      </w:r>
    </w:p>
    <w:p w:rsidR="00DF167D" w:rsidRPr="00AA77C7" w:rsidRDefault="00DF167D" w:rsidP="004F0427">
      <w:pPr>
        <w:pStyle w:val="Nadpis1"/>
        <w:numPr>
          <w:ilvl w:val="0"/>
          <w:numId w:val="15"/>
        </w:numPr>
        <w:rPr>
          <w:noProof/>
        </w:rPr>
      </w:pPr>
      <w:r w:rsidRPr="00AA77C7">
        <w:t xml:space="preserve">RÁMEC NÁVRHU/PODNĚTU </w:t>
      </w:r>
    </w:p>
    <w:p w:rsidR="00DF167D" w:rsidRPr="00AA77C7" w:rsidRDefault="00DF167D" w:rsidP="00DF167D">
      <w:pPr>
        <w:pStyle w:val="Nadpis2"/>
        <w:rPr>
          <w:noProof/>
        </w:rPr>
      </w:pPr>
      <w:r w:rsidRPr="00AA77C7">
        <w:t xml:space="preserve">Název návrhu/podnětu </w:t>
      </w:r>
    </w:p>
    <w:p w:rsidR="00DF167D" w:rsidRPr="00AA77C7" w:rsidRDefault="00DF167D" w:rsidP="00DF167D">
      <w:pPr>
        <w:pStyle w:val="Text1"/>
      </w:pPr>
      <w:r w:rsidRPr="00AA77C7">
        <w:t>Návrh NAŘÍZENÍ EVROPSKÉHO PARLAMENTU A RADY, kterým se zavádí program Kreativní Evropa a zrušuje nařízení (EU) č. 1295/2013</w:t>
      </w:r>
    </w:p>
    <w:p w:rsidR="00DF167D" w:rsidRPr="00AA77C7" w:rsidRDefault="00DF167D" w:rsidP="00DF167D">
      <w:pPr>
        <w:pStyle w:val="Nadpis2"/>
        <w:rPr>
          <w:noProof/>
          <w:szCs w:val="24"/>
        </w:rPr>
      </w:pPr>
      <w:r w:rsidRPr="00AA77C7">
        <w:t xml:space="preserve">Příslušné oblasti politik </w:t>
      </w:r>
      <w:r w:rsidRPr="00AA77C7">
        <w:rPr>
          <w:i/>
          <w:noProof/>
        </w:rPr>
        <w:t>(skupina programů)</w:t>
      </w:r>
    </w:p>
    <w:p w:rsidR="00DF167D" w:rsidRPr="00AA77C7" w:rsidRDefault="00DF167D" w:rsidP="00DF167D">
      <w:pPr>
        <w:pStyle w:val="Text1"/>
      </w:pPr>
      <w:r w:rsidRPr="00AA77C7">
        <w:t>Investice do lidí, sociální soudržnosti a hodnot, Kreativní Evropa (Kultura a audiovize (MEDIA)</w:t>
      </w:r>
    </w:p>
    <w:p w:rsidR="00DF167D" w:rsidRPr="00AA77C7" w:rsidRDefault="00DF167D" w:rsidP="00DF167D">
      <w:pPr>
        <w:pStyle w:val="Nadpis2"/>
        <w:rPr>
          <w:bCs w:val="0"/>
          <w:noProof/>
          <w:szCs w:val="24"/>
        </w:rPr>
      </w:pPr>
      <w:r w:rsidRPr="00AA77C7">
        <w:t xml:space="preserve">Návrh/podnět se týká: </w:t>
      </w:r>
    </w:p>
    <w:p w:rsidR="00DF167D" w:rsidRPr="00AA77C7" w:rsidRDefault="00DF167D" w:rsidP="00DF167D">
      <w:pPr>
        <w:pStyle w:val="Text1"/>
        <w:rPr>
          <w:b/>
          <w:sz w:val="22"/>
        </w:rPr>
      </w:pPr>
      <w:r w:rsidRPr="00AA77C7">
        <w:rPr>
          <w:sz w:val="22"/>
        </w:rPr>
        <w:sym w:font="Wingdings" w:char="F0A8"/>
      </w:r>
      <w:r w:rsidRPr="00AA77C7">
        <w:rPr>
          <w:b/>
          <w:i/>
          <w:sz w:val="22"/>
        </w:rPr>
        <w:t xml:space="preserve"> </w:t>
      </w:r>
      <w:r w:rsidRPr="00AA77C7">
        <w:rPr>
          <w:b/>
        </w:rPr>
        <w:t>nové akce</w:t>
      </w:r>
      <w:r w:rsidRPr="00AA77C7">
        <w:rPr>
          <w:b/>
          <w:sz w:val="22"/>
        </w:rPr>
        <w:t xml:space="preserve"> </w:t>
      </w:r>
    </w:p>
    <w:p w:rsidR="00DF167D" w:rsidRPr="00AA77C7" w:rsidRDefault="00DF167D" w:rsidP="00DF167D">
      <w:pPr>
        <w:pStyle w:val="Text1"/>
        <w:rPr>
          <w:sz w:val="22"/>
        </w:rPr>
      </w:pPr>
      <w:r w:rsidRPr="00AA77C7">
        <w:rPr>
          <w:sz w:val="22"/>
        </w:rPr>
        <w:sym w:font="Wingdings" w:char="F0A8"/>
      </w:r>
      <w:r w:rsidRPr="00AA77C7">
        <w:rPr>
          <w:i/>
          <w:sz w:val="22"/>
        </w:rPr>
        <w:t xml:space="preserve"> </w:t>
      </w:r>
      <w:r w:rsidRPr="00AA77C7">
        <w:rPr>
          <w:b/>
        </w:rPr>
        <w:t>nové akce následující po pilotním projektu / přípravné akci</w:t>
      </w:r>
      <w:r w:rsidRPr="00AA77C7">
        <w:rPr>
          <w:rStyle w:val="Znakapoznpodarou"/>
          <w:b/>
        </w:rPr>
        <w:footnoteReference w:id="32"/>
      </w:r>
      <w:r w:rsidRPr="00AA77C7">
        <w:rPr>
          <w:sz w:val="22"/>
        </w:rPr>
        <w:t xml:space="preserve"> </w:t>
      </w:r>
    </w:p>
    <w:p w:rsidR="00DF167D" w:rsidRPr="00AA77C7" w:rsidRDefault="00DF167D" w:rsidP="00DF167D">
      <w:pPr>
        <w:pStyle w:val="Text1"/>
        <w:rPr>
          <w:sz w:val="22"/>
        </w:rPr>
      </w:pPr>
      <w:r w:rsidRPr="00AA77C7">
        <w:sym w:font="Wingdings" w:char="F078"/>
      </w:r>
      <w:r w:rsidRPr="00AA77C7">
        <w:rPr>
          <w:i/>
          <w:sz w:val="22"/>
        </w:rPr>
        <w:t xml:space="preserve"> </w:t>
      </w:r>
      <w:r w:rsidRPr="00AA77C7">
        <w:rPr>
          <w:b/>
        </w:rPr>
        <w:t>prodloužení stávající akce</w:t>
      </w:r>
      <w:r w:rsidRPr="00AA77C7">
        <w:rPr>
          <w:sz w:val="22"/>
        </w:rPr>
        <w:t xml:space="preserve"> </w:t>
      </w:r>
    </w:p>
    <w:p w:rsidR="00DF167D" w:rsidRPr="00AA77C7" w:rsidRDefault="00DF167D" w:rsidP="00DF167D">
      <w:pPr>
        <w:pStyle w:val="Text1"/>
      </w:pPr>
      <w:r w:rsidRPr="00AA77C7">
        <w:rPr>
          <w:sz w:val="22"/>
        </w:rPr>
        <w:sym w:font="Wingdings" w:char="F0A8"/>
      </w:r>
      <w:r w:rsidRPr="00AA77C7">
        <w:rPr>
          <w:i/>
          <w:sz w:val="22"/>
        </w:rPr>
        <w:t xml:space="preserve"> </w:t>
      </w:r>
      <w:r w:rsidRPr="00AA77C7">
        <w:rPr>
          <w:b/>
        </w:rPr>
        <w:t>sloučení jedné či více akcí v jinou/novou akci nebo přesměrování jedné či více akcí na jinou/novou akci</w:t>
      </w:r>
      <w:r w:rsidRPr="00AA77C7">
        <w:t xml:space="preserve"> </w:t>
      </w:r>
    </w:p>
    <w:p w:rsidR="00DF167D" w:rsidRPr="00AA77C7" w:rsidRDefault="00DF167D" w:rsidP="00DF167D">
      <w:pPr>
        <w:pStyle w:val="Nadpis2"/>
        <w:rPr>
          <w:bCs w:val="0"/>
          <w:noProof/>
          <w:szCs w:val="24"/>
        </w:rPr>
      </w:pPr>
      <w:r w:rsidRPr="00AA77C7">
        <w:t xml:space="preserve">Odůvodnění návrhu/podnětu </w:t>
      </w:r>
    </w:p>
    <w:p w:rsidR="00DF167D" w:rsidRPr="00AA77C7" w:rsidRDefault="00DF167D" w:rsidP="00DF167D">
      <w:pPr>
        <w:pStyle w:val="Nadpis3"/>
        <w:rPr>
          <w:noProof/>
        </w:rPr>
      </w:pPr>
      <w:r w:rsidRPr="00AA77C7">
        <w:t>Potřeby, které mají být uspokojeny v krátkodobém nebo dlouhodobém horizontu, včetně podrobného harmonogramu pro zahajovací fázi provádění podnětu.</w:t>
      </w:r>
    </w:p>
    <w:p w:rsidR="00DF167D" w:rsidRPr="00AA77C7" w:rsidRDefault="00DF167D" w:rsidP="00DF167D">
      <w:pPr>
        <w:pStyle w:val="Text1"/>
      </w:pPr>
      <w:r w:rsidRPr="00AA77C7">
        <w:t>Nový program Kreativní Evropa na období 2021–2027 umožní dále využít a vyzdvihnout potenciál řešit společné výzvy a vytvářet společné příležitosti, jejichž základ byl postaven v první generaci (2014–2020) společného programu pro kulturní a kreativní odvětví. To se týká zejména příležitostí ve společné meziodvětvové složce, která se zaměří na inovace. Udržování zavedené značky Kreativní Evropa pomůže zajistit pokračující angažovanost, jakož i viditelnost podpory EU.</w:t>
      </w:r>
    </w:p>
    <w:p w:rsidR="00DF167D" w:rsidRPr="00AA77C7" w:rsidRDefault="00DF167D" w:rsidP="00DF167D">
      <w:pPr>
        <w:pStyle w:val="Nadpis3"/>
        <w:rPr>
          <w:bCs w:val="0"/>
          <w:noProof/>
          <w:szCs w:val="24"/>
        </w:rPr>
      </w:pPr>
      <w:r w:rsidRPr="00AA77C7">
        <w:t>Přidaná hodnota ze zapojení Unie (může být důsledkem různých faktorů, např. přínosů z koordinace, právní jistoty, vyšší účelnosti nebo doplňkovosti). Pro účely tohoto bodu se „přidanou hodnotou ze zapojení Unie“ rozumí hodnota plynoucí ze zásahu Unie, jež doplňuje hodnotu, která by jinak vznikla činností samotných členských států.</w:t>
      </w:r>
    </w:p>
    <w:p w:rsidR="00DF167D" w:rsidRPr="00AA77C7" w:rsidRDefault="00DF167D" w:rsidP="00DF167D">
      <w:pPr>
        <w:pStyle w:val="Text1"/>
        <w:rPr>
          <w:b/>
        </w:rPr>
      </w:pPr>
      <w:r w:rsidRPr="00AA77C7">
        <w:rPr>
          <w:b/>
        </w:rPr>
        <w:t>Důvody pro akci na evropské úrovni (</w:t>
      </w:r>
      <w:r w:rsidRPr="00AA77C7">
        <w:rPr>
          <w:b/>
          <w:i/>
        </w:rPr>
        <w:t>ex ante</w:t>
      </w:r>
      <w:r w:rsidRPr="00AA77C7">
        <w:rPr>
          <w:b/>
        </w:rPr>
        <w:t>)</w:t>
      </w:r>
    </w:p>
    <w:p w:rsidR="00DF167D" w:rsidRPr="00AA77C7" w:rsidRDefault="00DF167D" w:rsidP="00DF167D">
      <w:pPr>
        <w:pStyle w:val="Text1"/>
      </w:pPr>
      <w:r w:rsidRPr="00AA77C7">
        <w:t xml:space="preserve">Hodnocení v polovině období předchozího programu ukázalo, že jeho cíle a priority byly celkově soudržné s cíli vnitrostátních politik a programů a doplňovaly je, a tedy že dodržely zásadu subsidiarity. Mnohostranná nadnárodní povaha programu Kreativní Evropa poskytuje osobitou nabídku, které se vnitrostátní financování zřídkakdy vyrovná. Hodnocení dále ukázalo, že program se zabývá výzvami, které tato odvětví považují za významné, zejména přístupem k financování, roztříštěností trhu pro kulturní díla, ale také digitalizací a globalizací. Bylo také shledáno, že program Kreativní Evropa plní strategické priority EU, jako jsou cíle zaměstnanosti v rámci strategie EU 2020, podpora tvorby pracovních míst a spravedlivější vnitřní trh se silnější průmyslovou základnou a odvětvové strategie na úrovni EU, jako např. jednotný digitální trh. Otevřená veřejná konzultace, která provázela hodnocení v </w:t>
      </w:r>
      <w:r w:rsidRPr="00AA77C7">
        <w:lastRenderedPageBreak/>
        <w:t>polovině období, a další, širší konzultace, která probíhala od ledna do března 2018, potvrdily, že naprostá většina respondentů souhlasí s tím, že program Kreativní Evropa tyto jednotlivé výzvy řeší poměrně dobře. Tato zjištění potvrdily další odborné poznatky zvenčí a zpětná vazba získaná mimo jiné prostřednictvím otevřené metody koordinace, strukturovaného dialogu s odvětvím a dalších fór, např. Evropského filmového fóra.</w:t>
      </w:r>
    </w:p>
    <w:p w:rsidR="00DF167D" w:rsidRPr="00AA77C7" w:rsidRDefault="00DF167D" w:rsidP="00DF167D">
      <w:pPr>
        <w:pStyle w:val="Text1"/>
        <w:rPr>
          <w:b/>
        </w:rPr>
      </w:pPr>
      <w:r w:rsidRPr="00AA77C7">
        <w:rPr>
          <w:b/>
        </w:rPr>
        <w:t>Očekávaná vytvořená přidaná hodnota na úrovni Unie (</w:t>
      </w:r>
      <w:r w:rsidRPr="00AA77C7">
        <w:rPr>
          <w:b/>
          <w:i/>
        </w:rPr>
        <w:t>ex post</w:t>
      </w:r>
      <w:r w:rsidRPr="00AA77C7">
        <w:rPr>
          <w:b/>
        </w:rPr>
        <w:t xml:space="preserve">) </w:t>
      </w:r>
    </w:p>
    <w:p w:rsidR="00DF167D" w:rsidRPr="00AA77C7" w:rsidRDefault="00DF167D" w:rsidP="00DF167D">
      <w:pPr>
        <w:pStyle w:val="Text1"/>
      </w:pPr>
      <w:r w:rsidRPr="00AA77C7">
        <w:t>Přeshraniční oběh děl, včetně děl audiovizuálních;</w:t>
      </w:r>
    </w:p>
    <w:p w:rsidR="00DF167D" w:rsidRPr="00AA77C7" w:rsidRDefault="00DF167D" w:rsidP="00DF167D">
      <w:pPr>
        <w:pStyle w:val="Text1"/>
      </w:pPr>
      <w:r w:rsidRPr="00AA77C7">
        <w:t xml:space="preserve">Vytváření mezinárodních sítí a přeshraničních partnerství, která představují hlavní a nejtrvalejší strukturní elementy Kreativní Evropy; </w:t>
      </w:r>
    </w:p>
    <w:p w:rsidR="00DF167D" w:rsidRPr="00AA77C7" w:rsidRDefault="00DF167D" w:rsidP="00DF167D">
      <w:pPr>
        <w:pStyle w:val="Text1"/>
      </w:pPr>
      <w:r w:rsidRPr="00AA77C7">
        <w:t xml:space="preserve">Nadnárodní sítě také celkově zvyšují schopnost kulturních a kreativních subjektů, a zejména těch, kteří pracují v úzce specializovaných oblastech a ve členských státech, kde jsou takové schopnosti méně rozvinuté; </w:t>
      </w:r>
    </w:p>
    <w:p w:rsidR="00DF167D" w:rsidRPr="00AA77C7" w:rsidRDefault="00DF167D" w:rsidP="00DF167D">
      <w:pPr>
        <w:pStyle w:val="Text1"/>
      </w:pPr>
      <w:r w:rsidRPr="00AA77C7">
        <w:t>Přeshraniční mobilita kulturních a kreativních subjektů v projektu a přístup orientovaný na výsledky vede k rozvoji dovedností a posílí kapacitu odvětví;</w:t>
      </w:r>
    </w:p>
    <w:p w:rsidR="00DF167D" w:rsidRPr="00AA77C7" w:rsidRDefault="00DF167D" w:rsidP="00DF167D">
      <w:pPr>
        <w:pStyle w:val="Text1"/>
      </w:pPr>
      <w:r w:rsidRPr="00AA77C7">
        <w:t xml:space="preserve">Podpora organizací (kalkulovaně) riskovat, což jim umožní zaměřit se na provoz s evropským rozměrem; </w:t>
      </w:r>
    </w:p>
    <w:p w:rsidR="00DF167D" w:rsidRPr="00AA77C7" w:rsidRDefault="00DF167D" w:rsidP="00DF167D">
      <w:pPr>
        <w:pStyle w:val="Text1"/>
      </w:pPr>
      <w:r w:rsidRPr="00AA77C7">
        <w:t xml:space="preserve">Reputační efekt na příjemce programu, který zvyšuje případný zájem partnerů a finančních zprostředkovatelů a posiluje jejich důvěru v podporované projekty. Tento reputační aspekt údajně také usnadňuje přístup k dalšímu financování; </w:t>
      </w:r>
    </w:p>
    <w:p w:rsidR="00DF167D" w:rsidRPr="00AA77C7" w:rsidRDefault="00DF167D" w:rsidP="00DF167D">
      <w:pPr>
        <w:pStyle w:val="Text1"/>
      </w:pPr>
      <w:r w:rsidRPr="00AA77C7">
        <w:t>Program má silné zaměření na společnost, jelikož podporou kulturní a jazykové rozmanitosti a umělecké a tvůrčí svobody, EU vysílá směrem k evropským občanům (a přijímá od nich zpět) výmluvná a významná sdělení, a přispívá tak k evropskému sociálnímu blahobytu;</w:t>
      </w:r>
    </w:p>
    <w:p w:rsidR="00DF167D" w:rsidRPr="00AA77C7" w:rsidRDefault="00DF167D" w:rsidP="00DF167D">
      <w:pPr>
        <w:pStyle w:val="Text1"/>
      </w:pPr>
      <w:r w:rsidRPr="00AA77C7">
        <w:t xml:space="preserve">Program Kreativní Evropa má zároveň pozitivní dopad na hospodářství Unie jako celku, neboť podporuje tvorbu, propagaci a oběh kulturních produktů a přístup ke kulturním službám a rovněž konkurenceschopnost kulturních a kreativních odvětví Evropy. Zatímco podpora filmu na vnitrostátní úrovni se zaměřuje primárně na produkci děl, podpora EU intervenuje (kromě televizních koprodukcí) v etapách před samotnou produkcí (odborná příprava, projektová příprava) a po ní (distribuce, propagace, představení), přičemž cílem je zajistit, aby evropská díla lépe cirkulovala napříč hranicemi, aby byla viditelnější a aby byla úspěšná ve všech distribučních kanálech včetně online platforem; </w:t>
      </w:r>
    </w:p>
    <w:p w:rsidR="00DF167D" w:rsidRPr="00AA77C7" w:rsidRDefault="00DF167D" w:rsidP="00DF167D">
      <w:pPr>
        <w:pStyle w:val="Text1"/>
      </w:pPr>
      <w:r w:rsidRPr="00AA77C7">
        <w:t>Podpora EU doprovází volný oběh audiovizuálních mediálních služeb, který posílila směrnice o audiovizuálních mediálních službách, a zejména prominentní postavení evropských děl v katalozích služeb Video on Demand.</w:t>
      </w:r>
    </w:p>
    <w:p w:rsidR="00DF167D" w:rsidRPr="00AA77C7" w:rsidRDefault="00DF167D" w:rsidP="00DF167D">
      <w:pPr>
        <w:pStyle w:val="Nadpis3"/>
        <w:rPr>
          <w:bCs w:val="0"/>
          <w:noProof/>
          <w:szCs w:val="24"/>
        </w:rPr>
      </w:pPr>
      <w:r w:rsidRPr="00AA77C7">
        <w:t>Závěry vyvozené z podobných zkušeností v minulosti.</w:t>
      </w:r>
    </w:p>
    <w:p w:rsidR="00DF167D" w:rsidRPr="00AA77C7" w:rsidRDefault="00DF167D" w:rsidP="00DF167D">
      <w:pPr>
        <w:pStyle w:val="Text1"/>
        <w:pBdr>
          <w:top w:val="single" w:sz="4" w:space="1" w:color="auto"/>
          <w:left w:val="single" w:sz="4" w:space="4" w:color="auto"/>
          <w:bottom w:val="single" w:sz="4" w:space="1" w:color="auto"/>
          <w:right w:val="single" w:sz="4" w:space="4" w:color="auto"/>
        </w:pBdr>
      </w:pPr>
      <w:r w:rsidRPr="00AA77C7">
        <w:t>Jak podle hodnocení v polovině období, tak i podle otevřených veřejných konzultací jsou hlavními překážkami, které by podle respondentů mohly současným programům/fondům zabránit v dosažení jejich cílů, „nedostatek rozpočtových prostředků programu k uspokojení nabídky“, „nedostatečná podpora pro malé zúčastněné strany“ a „nedostatečná podpora pro uchazeče, kteří se hlásí poprvé“.</w:t>
      </w:r>
    </w:p>
    <w:p w:rsidR="00DF167D" w:rsidRPr="00AA77C7" w:rsidRDefault="00DF167D" w:rsidP="00DF167D">
      <w:pPr>
        <w:pStyle w:val="Text1"/>
        <w:pBdr>
          <w:top w:val="single" w:sz="4" w:space="1" w:color="auto"/>
          <w:left w:val="single" w:sz="4" w:space="4" w:color="auto"/>
          <w:bottom w:val="single" w:sz="4" w:space="1" w:color="auto"/>
          <w:right w:val="single" w:sz="4" w:space="4" w:color="auto"/>
        </w:pBdr>
      </w:pPr>
      <w:r w:rsidRPr="00AA77C7">
        <w:t xml:space="preserve">Respondenti, kteří měli zkušenost s jedním či více programy EU, souhlasili s tím, že hlavními kroky ke zjednodušení a snížení administrativní zátěže pro příjemce jsou „používání zjednodušených přihlášek“, „usnadňování strukturované sítě a </w:t>
      </w:r>
      <w:r w:rsidRPr="00AA77C7">
        <w:lastRenderedPageBreak/>
        <w:t>partnerství“, „usnadňování financování opatření zasahujících do více odvětví“ a „lepší koordinace mezi různými programy/fondy“.</w:t>
      </w:r>
    </w:p>
    <w:p w:rsidR="00DF167D" w:rsidRPr="00AA77C7" w:rsidRDefault="00DF167D" w:rsidP="00DF167D">
      <w:pPr>
        <w:pStyle w:val="Text1"/>
        <w:pBdr>
          <w:top w:val="single" w:sz="4" w:space="1" w:color="auto"/>
          <w:left w:val="single" w:sz="4" w:space="4" w:color="auto"/>
          <w:bottom w:val="single" w:sz="4" w:space="1" w:color="auto"/>
          <w:right w:val="single" w:sz="4" w:space="4" w:color="auto"/>
        </w:pBdr>
      </w:pPr>
      <w:r w:rsidRPr="00AA77C7">
        <w:t>Pokud jde o zjednodušení, zavádějí se tyto prvky:</w:t>
      </w:r>
    </w:p>
    <w:p w:rsidR="00DF167D" w:rsidRPr="00AA77C7" w:rsidRDefault="00DF167D" w:rsidP="00DF167D">
      <w:pPr>
        <w:pStyle w:val="Text1"/>
        <w:pBdr>
          <w:top w:val="single" w:sz="4" w:space="1" w:color="auto"/>
          <w:left w:val="single" w:sz="4" w:space="4" w:color="auto"/>
          <w:bottom w:val="single" w:sz="4" w:space="1" w:color="auto"/>
          <w:right w:val="single" w:sz="4" w:space="4" w:color="auto"/>
        </w:pBdr>
      </w:pPr>
      <w:r w:rsidRPr="00AA77C7">
        <w:t>Do programu bude začleněna větší flexibilita, která umožní přizpůsobit pracovní programy nepředvídatelným okolnostem nebo novému technologickému nebo společenskému vývoji, a odměňovat výkonnost.</w:t>
      </w:r>
    </w:p>
    <w:p w:rsidR="00DF167D" w:rsidRPr="00AA77C7" w:rsidRDefault="00DF167D" w:rsidP="00DF167D">
      <w:pPr>
        <w:pStyle w:val="Text1"/>
        <w:pBdr>
          <w:top w:val="single" w:sz="4" w:space="1" w:color="auto"/>
          <w:left w:val="single" w:sz="4" w:space="4" w:color="auto"/>
          <w:bottom w:val="single" w:sz="4" w:space="1" w:color="auto"/>
          <w:right w:val="single" w:sz="4" w:space="4" w:color="auto"/>
        </w:pBdr>
      </w:pPr>
      <w:r w:rsidRPr="00AA77C7">
        <w:t>Pro zajištění finanční stability a usnadnění přístupu pro malé aktéry je zapotřebí větší účinnost a efektivnost včetně většího využívání rámcových dohod o partnerství a kaskádových grantů. Dále rozšířena bude již úspěšná výměna učení během provádění projektů a šíření výsledků tohoto učení.</w:t>
      </w:r>
    </w:p>
    <w:p w:rsidR="00DF167D" w:rsidRPr="00AA77C7" w:rsidRDefault="00DF167D" w:rsidP="00DF167D">
      <w:pPr>
        <w:pStyle w:val="Text1"/>
        <w:pBdr>
          <w:top w:val="single" w:sz="4" w:space="1" w:color="auto"/>
          <w:left w:val="single" w:sz="4" w:space="4" w:color="auto"/>
          <w:bottom w:val="single" w:sz="4" w:space="1" w:color="auto"/>
          <w:right w:val="single" w:sz="4" w:space="4" w:color="auto"/>
        </w:pBdr>
      </w:pPr>
      <w:r w:rsidRPr="00AA77C7">
        <w:t>Opatření v hudebním odvětví, jakož i v oblasti překladů budou obsahovat kritéria odměňující tržní úspěch a dosavadní výkonnost.</w:t>
      </w:r>
    </w:p>
    <w:p w:rsidR="00DF167D" w:rsidRPr="00AA77C7" w:rsidRDefault="00DF167D" w:rsidP="00DF167D">
      <w:pPr>
        <w:pStyle w:val="Text1"/>
        <w:pBdr>
          <w:top w:val="single" w:sz="4" w:space="1" w:color="auto"/>
          <w:left w:val="single" w:sz="4" w:space="4" w:color="auto"/>
          <w:bottom w:val="single" w:sz="4" w:space="1" w:color="auto"/>
          <w:right w:val="single" w:sz="4" w:space="4" w:color="auto"/>
        </w:pBdr>
      </w:pPr>
      <w:r w:rsidRPr="00AA77C7">
        <w:t>Budou navržena účinná přechodná ustanovení, která třetím zemím, jež byly přidruženy k programu Kreativní Evropa 2014–2020, usnadní přidružení k novému programu.</w:t>
      </w:r>
    </w:p>
    <w:p w:rsidR="00DF167D" w:rsidRPr="00AA77C7" w:rsidRDefault="00DF167D" w:rsidP="00DF167D">
      <w:pPr>
        <w:pStyle w:val="Text1"/>
        <w:pBdr>
          <w:top w:val="single" w:sz="4" w:space="1" w:color="auto"/>
          <w:left w:val="single" w:sz="4" w:space="4" w:color="auto"/>
          <w:bottom w:val="single" w:sz="4" w:space="1" w:color="auto"/>
          <w:right w:val="single" w:sz="4" w:space="4" w:color="auto"/>
        </w:pBdr>
      </w:pPr>
      <w:r w:rsidRPr="00AA77C7">
        <w:t>Pokyny k programu budou vyjasněny a v procesech a postupech budou systematicky využívány elektronické formuláře a zprávy a požadavky na vykazování se sníží. Bude zaveden soudržný jednotný soubor pravidel, který ale ponechá prostor pro rozdílné přístupy v případě potřeby.</w:t>
      </w:r>
    </w:p>
    <w:p w:rsidR="00DF167D" w:rsidRPr="00AA77C7" w:rsidRDefault="00DF167D" w:rsidP="00DF167D">
      <w:pPr>
        <w:pStyle w:val="Text1"/>
        <w:pBdr>
          <w:top w:val="single" w:sz="4" w:space="1" w:color="auto"/>
          <w:left w:val="single" w:sz="4" w:space="4" w:color="auto"/>
          <w:bottom w:val="single" w:sz="4" w:space="1" w:color="auto"/>
          <w:right w:val="single" w:sz="4" w:space="4" w:color="auto"/>
        </w:pBdr>
      </w:pPr>
      <w:r w:rsidRPr="00AA77C7">
        <w:t>Jiné programy již s úspěchem zavedly významná zjednodušující opatření, jako např. jednorázové částky, jednotkové náklady a paušály, která by mohla být zavedena i v novém programu Kreativní Evropa.</w:t>
      </w:r>
    </w:p>
    <w:p w:rsidR="00DF167D" w:rsidRPr="00AA77C7" w:rsidRDefault="00DF167D" w:rsidP="00086A67">
      <w:pPr>
        <w:pStyle w:val="Text1"/>
        <w:pBdr>
          <w:top w:val="single" w:sz="4" w:space="1" w:color="auto"/>
          <w:left w:val="single" w:sz="4" w:space="4" w:color="auto"/>
          <w:bottom w:val="single" w:sz="4" w:space="1" w:color="auto"/>
          <w:right w:val="single" w:sz="4" w:space="4" w:color="auto"/>
        </w:pBdr>
      </w:pPr>
      <w:r w:rsidRPr="00AA77C7">
        <w:t>Komplexitu pravidel financování současných programů a zároveň jejich nestejnorodost vnímají uchazeči jako překážku. Důležitou roli ve zjednodušení přístupu k programu má jednotné kontaktní místo pro externí uživatele, kteří se účastní grantu během jeho životního cyklu (tj. účastnický portál), včetně obecného systému řízení grantů.</w:t>
      </w:r>
    </w:p>
    <w:p w:rsidR="00DF167D" w:rsidRPr="00AA77C7" w:rsidRDefault="00DF167D" w:rsidP="00DF167D">
      <w:pPr>
        <w:pStyle w:val="Nadpis3"/>
        <w:keepLines/>
        <w:ind w:left="851"/>
        <w:rPr>
          <w:bCs w:val="0"/>
          <w:noProof/>
          <w:szCs w:val="24"/>
        </w:rPr>
      </w:pPr>
      <w:r w:rsidRPr="00AA77C7">
        <w:t>Soulad a možná synergie s dalšími vhodnými nástroji.</w:t>
      </w:r>
    </w:p>
    <w:p w:rsidR="00DF167D" w:rsidRPr="00AA77C7" w:rsidRDefault="00DF167D" w:rsidP="00DF167D">
      <w:pPr>
        <w:pStyle w:val="Text1"/>
        <w:keepLines/>
        <w:ind w:left="851"/>
      </w:pPr>
      <w:r w:rsidRPr="00AA77C7">
        <w:t>Program bude v souladu s dalšími nástroji Unie, zejména Erasmus+, evropskými strukturálními a investičními fondy (ESIF), včetně Evropského sociálního fondu a Evropského fondu pro regionální rozvoj, příštím rámcovým programem pro výzkum a inovace a nástroji vnější spolupráce (NDICI, IPA III a OCT), a bude je doplňovat. Na základě ustanovení Smlouvy o začleňování a nového politického přístupu založeného na kulturním prolínání, jak je uvedeno v nové Evropské agendě pro kulturu, se program snaží o rozvoj synergií s těmito oblastmi politiky: politiky v oblasti vzdělávání a mládeže, politiky v oblasti zaměstnanosti a sociální politiky, politiky soudržnosti a rozvoje venkova, program pro jednotný trh, strategická infrastruktura, jako např. Digitální Evropa, Horizont Evropa, výzkumné programy a politiky vnější a rozvojové spolupráce.</w:t>
      </w:r>
    </w:p>
    <w:p w:rsidR="00DF167D" w:rsidRPr="00AA77C7" w:rsidRDefault="00DF167D" w:rsidP="00DF167D">
      <w:pPr>
        <w:pStyle w:val="Text1"/>
        <w:keepLines/>
        <w:ind w:left="851"/>
      </w:pPr>
    </w:p>
    <w:p w:rsidR="00DF167D" w:rsidRPr="00AA77C7" w:rsidRDefault="00DF167D" w:rsidP="00DF167D">
      <w:pPr>
        <w:pStyle w:val="Nadpis2"/>
        <w:rPr>
          <w:bCs w:val="0"/>
          <w:noProof/>
          <w:szCs w:val="24"/>
        </w:rPr>
      </w:pPr>
      <w:r w:rsidRPr="00AA77C7">
        <w:br w:type="page"/>
      </w:r>
      <w:r w:rsidRPr="00AA77C7">
        <w:lastRenderedPageBreak/>
        <w:t xml:space="preserve">Doba trvání akce a finanční dopad </w:t>
      </w:r>
    </w:p>
    <w:p w:rsidR="00DF167D" w:rsidRPr="00AA77C7" w:rsidRDefault="00DF167D" w:rsidP="00DF167D">
      <w:pPr>
        <w:pStyle w:val="Text1"/>
      </w:pPr>
      <w:r w:rsidRPr="00AA77C7">
        <w:sym w:font="Wingdings" w:char="F078"/>
      </w:r>
      <w:r w:rsidRPr="00AA77C7">
        <w:tab/>
      </w:r>
      <w:r w:rsidRPr="00AA77C7">
        <w:rPr>
          <w:b/>
        </w:rPr>
        <w:t xml:space="preserve">Časově omezená doba trvání </w:t>
      </w:r>
    </w:p>
    <w:p w:rsidR="00DF167D" w:rsidRPr="00AA77C7" w:rsidRDefault="00DF167D" w:rsidP="00DF167D">
      <w:pPr>
        <w:pStyle w:val="ListDash2"/>
        <w:rPr>
          <w:noProof/>
        </w:rPr>
      </w:pPr>
      <w:r w:rsidRPr="00AA77C7">
        <w:rPr>
          <w:noProof/>
        </w:rPr>
        <w:sym w:font="Wingdings" w:char="F078"/>
      </w:r>
      <w:r w:rsidRPr="00AA77C7">
        <w:tab/>
        <w:t>s platností od [01/01/2021] do [31/12/2027]</w:t>
      </w:r>
    </w:p>
    <w:p w:rsidR="00DF167D" w:rsidRPr="00AA77C7" w:rsidRDefault="00DF167D" w:rsidP="00DF167D">
      <w:pPr>
        <w:pStyle w:val="ListDash2"/>
        <w:rPr>
          <w:noProof/>
        </w:rPr>
      </w:pPr>
      <w:r w:rsidRPr="00AA77C7">
        <w:rPr>
          <w:noProof/>
        </w:rPr>
        <w:sym w:font="Wingdings" w:char="F078"/>
      </w:r>
      <w:r w:rsidRPr="00AA77C7">
        <w:tab/>
        <w:t xml:space="preserve">finanční dopad od roku 2021 do roku 2027 u prostředků na závazky a od roku 2021 do roku 2027 u prostředků na platby a po roce 2027 u plateb. </w:t>
      </w:r>
    </w:p>
    <w:p w:rsidR="00DF167D" w:rsidRPr="00AA77C7" w:rsidRDefault="00DF167D" w:rsidP="00DF167D">
      <w:pPr>
        <w:pStyle w:val="Text1"/>
      </w:pPr>
      <w:r w:rsidRPr="00AA77C7">
        <w:sym w:font="Wingdings" w:char="F0A8"/>
      </w:r>
      <w:r w:rsidRPr="00AA77C7">
        <w:rPr>
          <w:b/>
          <w:i/>
        </w:rPr>
        <w:t xml:space="preserve"> </w:t>
      </w:r>
      <w:r w:rsidRPr="00AA77C7">
        <w:rPr>
          <w:b/>
        </w:rPr>
        <w:t>Časově neomezená doba trvání</w:t>
      </w:r>
    </w:p>
    <w:p w:rsidR="00DF167D" w:rsidRPr="00AA77C7" w:rsidRDefault="00DF167D" w:rsidP="00DF167D">
      <w:pPr>
        <w:pStyle w:val="ListDash1"/>
      </w:pPr>
      <w:r w:rsidRPr="00AA77C7">
        <w:t>Provádění s obdobím rozběhu od RRRR do RRRR,</w:t>
      </w:r>
      <w:r w:rsidRPr="00AA77C7">
        <w:br/>
        <w:t>poté plné fungování.</w:t>
      </w:r>
    </w:p>
    <w:p w:rsidR="00DF167D" w:rsidRPr="00AA77C7" w:rsidRDefault="00DF167D" w:rsidP="00DF167D">
      <w:pPr>
        <w:pStyle w:val="Nadpis2"/>
        <w:rPr>
          <w:bCs w:val="0"/>
          <w:noProof/>
          <w:szCs w:val="24"/>
        </w:rPr>
      </w:pPr>
      <w:r w:rsidRPr="00AA77C7">
        <w:t>Předpokládaný způsob řízení</w:t>
      </w:r>
      <w:r w:rsidRPr="00AA77C7">
        <w:rPr>
          <w:rStyle w:val="Znakapoznpodarou"/>
          <w:noProof/>
        </w:rPr>
        <w:footnoteReference w:id="33"/>
      </w:r>
      <w:r w:rsidRPr="00AA77C7">
        <w:rPr>
          <w:rStyle w:val="Znakapoznpodarou"/>
          <w:noProof/>
        </w:rPr>
        <w:t xml:space="preserve"> </w:t>
      </w:r>
    </w:p>
    <w:p w:rsidR="00DF167D" w:rsidRPr="00AA77C7" w:rsidRDefault="00DF167D" w:rsidP="00DF167D">
      <w:pPr>
        <w:pStyle w:val="Text1"/>
      </w:pPr>
      <w:r w:rsidRPr="00AA77C7">
        <w:sym w:font="Wingdings" w:char="F078"/>
      </w:r>
      <w:r w:rsidRPr="00AA77C7">
        <w:rPr>
          <w:i/>
        </w:rPr>
        <w:t xml:space="preserve"> </w:t>
      </w:r>
      <w:r w:rsidRPr="00AA77C7">
        <w:rPr>
          <w:b/>
        </w:rPr>
        <w:t>Přímé řízení</w:t>
      </w:r>
      <w:r w:rsidRPr="00AA77C7">
        <w:t xml:space="preserve"> Komisí</w:t>
      </w:r>
    </w:p>
    <w:p w:rsidR="00DF167D" w:rsidRPr="00AA77C7" w:rsidRDefault="00DF167D" w:rsidP="00DF167D">
      <w:pPr>
        <w:pStyle w:val="ListDash2"/>
        <w:rPr>
          <w:noProof/>
        </w:rPr>
      </w:pPr>
      <w:r w:rsidRPr="00AA77C7">
        <w:rPr>
          <w:noProof/>
        </w:rPr>
        <w:sym w:font="Wingdings" w:char="F078"/>
      </w:r>
      <w:r w:rsidRPr="00AA77C7">
        <w:t xml:space="preserve"> prostřednictvím jejích útvarů, včetně jejích zaměstnanců v delegacích Unie, </w:t>
      </w:r>
    </w:p>
    <w:p w:rsidR="00DF167D" w:rsidRPr="00AA77C7" w:rsidRDefault="00DF167D" w:rsidP="00DF167D">
      <w:pPr>
        <w:pStyle w:val="ListDash2"/>
        <w:rPr>
          <w:noProof/>
        </w:rPr>
      </w:pPr>
      <w:r w:rsidRPr="00AA77C7">
        <w:rPr>
          <w:noProof/>
        </w:rPr>
        <w:sym w:font="Wingdings" w:char="F078"/>
      </w:r>
      <w:r w:rsidRPr="00AA77C7">
        <w:tab/>
        <w:t xml:space="preserve">prostřednictvím výkonných agentur. </w:t>
      </w:r>
    </w:p>
    <w:p w:rsidR="00DF167D" w:rsidRPr="00AA77C7" w:rsidRDefault="00DF167D" w:rsidP="00DF167D">
      <w:pPr>
        <w:pStyle w:val="Text1"/>
      </w:pPr>
      <w:r w:rsidRPr="00AA77C7">
        <w:sym w:font="Wingdings" w:char="F0A8"/>
      </w:r>
      <w:r w:rsidRPr="00AA77C7">
        <w:rPr>
          <w:b/>
          <w:i/>
        </w:rPr>
        <w:t xml:space="preserve"> </w:t>
      </w:r>
      <w:r w:rsidRPr="00AA77C7">
        <w:rPr>
          <w:b/>
        </w:rPr>
        <w:t>Sdílené řízení</w:t>
      </w:r>
      <w:r w:rsidRPr="00AA77C7">
        <w:t xml:space="preserve"> s členskými státy </w:t>
      </w:r>
    </w:p>
    <w:p w:rsidR="00DF167D" w:rsidRPr="00AA77C7" w:rsidRDefault="00DF167D" w:rsidP="00DF167D">
      <w:pPr>
        <w:pStyle w:val="Text1"/>
      </w:pPr>
      <w:r w:rsidRPr="00AA77C7">
        <w:sym w:font="Wingdings" w:char="F078"/>
      </w:r>
      <w:r w:rsidRPr="00AA77C7">
        <w:rPr>
          <w:i/>
        </w:rPr>
        <w:t xml:space="preserve"> </w:t>
      </w:r>
      <w:r w:rsidRPr="00AA77C7">
        <w:rPr>
          <w:b/>
        </w:rPr>
        <w:t>Nepřímé řízení</w:t>
      </w:r>
      <w:r w:rsidRPr="00AA77C7">
        <w:t>, při kterém jsou úkoly souvisejícími s plněním rozpočtu pověřeny:</w:t>
      </w:r>
    </w:p>
    <w:p w:rsidR="00DF167D" w:rsidRPr="00AA77C7" w:rsidRDefault="00DF167D" w:rsidP="00DF167D">
      <w:pPr>
        <w:pStyle w:val="ListDash2"/>
        <w:rPr>
          <w:noProof/>
        </w:rPr>
      </w:pPr>
      <w:r w:rsidRPr="00AA77C7">
        <w:rPr>
          <w:noProof/>
        </w:rPr>
        <w:sym w:font="Wingdings" w:char="F0A8"/>
      </w:r>
      <w:r w:rsidRPr="00AA77C7">
        <w:t xml:space="preserve"> třetí země nebo subjekty určené těmito zeměmi,</w:t>
      </w:r>
    </w:p>
    <w:p w:rsidR="00DF167D" w:rsidRPr="00AA77C7" w:rsidRDefault="00DF167D" w:rsidP="00DF167D">
      <w:pPr>
        <w:pStyle w:val="ListDash2"/>
        <w:rPr>
          <w:noProof/>
        </w:rPr>
      </w:pPr>
      <w:r w:rsidRPr="00AA77C7">
        <w:rPr>
          <w:noProof/>
        </w:rPr>
        <w:sym w:font="Wingdings" w:char="F078"/>
      </w:r>
      <w:r w:rsidRPr="00AA77C7">
        <w:t xml:space="preserve"> mezinárodní organizace a jejich agentury (upřesněte),</w:t>
      </w:r>
    </w:p>
    <w:p w:rsidR="00DF167D" w:rsidRPr="00AA77C7" w:rsidRDefault="00DF167D" w:rsidP="00DF167D">
      <w:pPr>
        <w:pStyle w:val="ListDash2"/>
        <w:rPr>
          <w:noProof/>
        </w:rPr>
      </w:pPr>
      <w:r w:rsidRPr="00AA77C7">
        <w:rPr>
          <w:noProof/>
        </w:rPr>
        <w:sym w:font="Wingdings" w:char="F0A8"/>
      </w:r>
      <w:r w:rsidRPr="00AA77C7">
        <w:t xml:space="preserve"> EIB a Evropský investiční fond,</w:t>
      </w:r>
    </w:p>
    <w:p w:rsidR="00DF167D" w:rsidRPr="00AA77C7" w:rsidRDefault="00DF167D" w:rsidP="00DF167D">
      <w:pPr>
        <w:pStyle w:val="ListDash2"/>
        <w:rPr>
          <w:noProof/>
        </w:rPr>
      </w:pPr>
      <w:r w:rsidRPr="00AA77C7">
        <w:rPr>
          <w:noProof/>
        </w:rPr>
        <w:sym w:font="Wingdings" w:char="F0A8"/>
      </w:r>
      <w:r w:rsidRPr="00AA77C7">
        <w:t xml:space="preserve"> subjekty uvedené v článcích 70 a 71 finančního nařízení,</w:t>
      </w:r>
    </w:p>
    <w:p w:rsidR="00DF167D" w:rsidRPr="00AA77C7" w:rsidRDefault="00DF167D" w:rsidP="00DF167D">
      <w:pPr>
        <w:pStyle w:val="ListDash2"/>
        <w:rPr>
          <w:noProof/>
        </w:rPr>
      </w:pPr>
      <w:r w:rsidRPr="00AA77C7">
        <w:rPr>
          <w:noProof/>
        </w:rPr>
        <w:sym w:font="Wingdings" w:char="F078"/>
      </w:r>
      <w:r w:rsidRPr="00AA77C7">
        <w:t xml:space="preserve"> veřejnoprávní subjekty,</w:t>
      </w:r>
    </w:p>
    <w:p w:rsidR="00DF167D" w:rsidRPr="00AA77C7" w:rsidRDefault="00DF167D" w:rsidP="00DF167D">
      <w:pPr>
        <w:pStyle w:val="ListDash2"/>
        <w:rPr>
          <w:noProof/>
        </w:rPr>
      </w:pPr>
      <w:r w:rsidRPr="00AA77C7">
        <w:rPr>
          <w:noProof/>
        </w:rPr>
        <w:sym w:font="Wingdings" w:char="F0A8"/>
      </w:r>
      <w:r w:rsidRPr="00AA77C7">
        <w:t xml:space="preserve"> soukromoprávní subjekty pověřené výkonem veřejné služby v rozsahu, v jakém poskytují dostatečné finanční záruky,</w:t>
      </w:r>
    </w:p>
    <w:p w:rsidR="00DF167D" w:rsidRPr="00AA77C7" w:rsidRDefault="00DF167D" w:rsidP="00DF167D">
      <w:pPr>
        <w:pStyle w:val="ListDash2"/>
        <w:rPr>
          <w:noProof/>
        </w:rPr>
      </w:pPr>
      <w:r w:rsidRPr="00AA77C7">
        <w:rPr>
          <w:noProof/>
        </w:rPr>
        <w:sym w:font="Wingdings" w:char="F0A8"/>
      </w:r>
      <w:r w:rsidRPr="00AA77C7">
        <w:t xml:space="preserve"> soukromoprávní subjekty členského státu pověřené uskutečňováním partnerství soukromého a veřejného sektoru a poskytující dostatečné finanční záruky,</w:t>
      </w:r>
    </w:p>
    <w:p w:rsidR="00DF167D" w:rsidRPr="00AA77C7" w:rsidRDefault="00DF167D" w:rsidP="00DF167D">
      <w:pPr>
        <w:pStyle w:val="ListDash2"/>
        <w:rPr>
          <w:noProof/>
        </w:rPr>
      </w:pPr>
      <w:r w:rsidRPr="00AA77C7">
        <w:rPr>
          <w:noProof/>
        </w:rPr>
        <w:sym w:font="Wingdings" w:char="F0A8"/>
      </w:r>
      <w:r w:rsidRPr="00AA77C7">
        <w:t xml:space="preserve"> osoby pověřené prováděním zvláštních činností v rámci společné zahraniční a bezpečnostní politiky podle hlavy V Smlouvy o EU a určené v příslušném základním právním aktu.</w:t>
      </w:r>
    </w:p>
    <w:p w:rsidR="00DF167D" w:rsidRPr="00AA77C7" w:rsidRDefault="00DF167D" w:rsidP="00DF167D">
      <w:pPr>
        <w:pStyle w:val="ListDash2"/>
        <w:rPr>
          <w:i/>
          <w:noProof/>
          <w:sz w:val="18"/>
          <w:u w:val="single"/>
        </w:rPr>
      </w:pPr>
      <w:r w:rsidRPr="00AA77C7">
        <w:rPr>
          <w:i/>
          <w:noProof/>
          <w:sz w:val="18"/>
        </w:rPr>
        <w:t>Pokud vyberete více způsobů řízení, upřesněte je v části „Poznámky“.</w:t>
      </w:r>
    </w:p>
    <w:p w:rsidR="00DF167D" w:rsidRPr="00AA77C7" w:rsidRDefault="00DF167D" w:rsidP="00DF167D">
      <w:pPr>
        <w:rPr>
          <w:noProof/>
        </w:rPr>
      </w:pPr>
      <w:r w:rsidRPr="00AA77C7">
        <w:t xml:space="preserve">Poznámky </w:t>
      </w:r>
    </w:p>
    <w:p w:rsidR="00DF167D" w:rsidRPr="00AA77C7" w:rsidRDefault="00DF167D" w:rsidP="00DF167D">
      <w:pPr>
        <w:pBdr>
          <w:top w:val="single" w:sz="4" w:space="1" w:color="auto"/>
          <w:left w:val="single" w:sz="4" w:space="4" w:color="auto"/>
          <w:bottom w:val="single" w:sz="4" w:space="1" w:color="auto"/>
          <w:right w:val="single" w:sz="4" w:space="4" w:color="auto"/>
        </w:pBdr>
        <w:rPr>
          <w:noProof/>
        </w:rPr>
      </w:pPr>
      <w:r w:rsidRPr="00AA77C7">
        <w:t>[…]</w:t>
      </w:r>
    </w:p>
    <w:p w:rsidR="00DF167D" w:rsidRPr="00AA77C7" w:rsidRDefault="00DF167D" w:rsidP="00DF167D">
      <w:pPr>
        <w:pBdr>
          <w:top w:val="single" w:sz="4" w:space="1" w:color="auto"/>
          <w:left w:val="single" w:sz="4" w:space="4" w:color="auto"/>
          <w:bottom w:val="single" w:sz="4" w:space="1" w:color="auto"/>
          <w:right w:val="single" w:sz="4" w:space="4" w:color="auto"/>
        </w:pBdr>
        <w:rPr>
          <w:noProof/>
        </w:rPr>
      </w:pPr>
      <w:r w:rsidRPr="00AA77C7">
        <w:t>[…]</w:t>
      </w:r>
    </w:p>
    <w:p w:rsidR="00DF167D" w:rsidRPr="00AA77C7" w:rsidRDefault="00DF167D" w:rsidP="00DF167D">
      <w:pPr>
        <w:rPr>
          <w:noProof/>
        </w:rPr>
        <w:sectPr w:rsidR="00DF167D" w:rsidRPr="00AA77C7" w:rsidSect="00DA02CA">
          <w:headerReference w:type="default" r:id="rId23"/>
          <w:footerReference w:type="default" r:id="rId24"/>
          <w:headerReference w:type="first" r:id="rId25"/>
          <w:footerReference w:type="first" r:id="rId26"/>
          <w:pgSz w:w="11907" w:h="16840" w:code="9"/>
          <w:pgMar w:top="1134" w:right="1418" w:bottom="1134" w:left="1418" w:header="709" w:footer="709" w:gutter="0"/>
          <w:cols w:space="708"/>
          <w:docGrid w:linePitch="360"/>
        </w:sectPr>
      </w:pPr>
    </w:p>
    <w:p w:rsidR="00DF167D" w:rsidRPr="00AA77C7" w:rsidRDefault="00DF167D" w:rsidP="00DF167D">
      <w:pPr>
        <w:pStyle w:val="Nadpis1"/>
        <w:rPr>
          <w:bCs w:val="0"/>
          <w:noProof/>
          <w:szCs w:val="24"/>
        </w:rPr>
      </w:pPr>
      <w:r w:rsidRPr="00AA77C7">
        <w:lastRenderedPageBreak/>
        <w:t xml:space="preserve">SPRÁVNÍ OPATŘENÍ </w:t>
      </w:r>
    </w:p>
    <w:p w:rsidR="00DF167D" w:rsidRPr="00AA77C7" w:rsidRDefault="00DF167D" w:rsidP="00DF167D">
      <w:pPr>
        <w:pStyle w:val="Nadpis2"/>
        <w:rPr>
          <w:noProof/>
        </w:rPr>
      </w:pPr>
      <w:r w:rsidRPr="00AA77C7">
        <w:t xml:space="preserve">Pravidla pro sledování a podávání zpráv </w:t>
      </w:r>
    </w:p>
    <w:p w:rsidR="00DF167D" w:rsidRPr="00AA77C7" w:rsidRDefault="00DF167D" w:rsidP="00DF167D">
      <w:pPr>
        <w:pStyle w:val="Text1"/>
        <w:rPr>
          <w:i/>
          <w:sz w:val="20"/>
          <w:u w:val="single"/>
        </w:rPr>
      </w:pPr>
      <w:r w:rsidRPr="00AA77C7">
        <w:rPr>
          <w:i/>
          <w:sz w:val="20"/>
        </w:rPr>
        <w:t>Upřesněte četnost a podmínky.</w:t>
      </w:r>
    </w:p>
    <w:p w:rsidR="00DF167D" w:rsidRPr="00AA77C7" w:rsidRDefault="00DF167D" w:rsidP="00DF167D">
      <w:pPr>
        <w:pStyle w:val="Text1"/>
      </w:pPr>
      <w:r w:rsidRPr="00AA77C7">
        <w:t xml:space="preserve">Sada ukazatelů pokroku programu směrem k dosažení obecných cílů uvedených v právním základě. Tyto ukazatele budou hlášeny v pravidelných intervalech. </w:t>
      </w:r>
    </w:p>
    <w:p w:rsidR="00DF167D" w:rsidRPr="00AA77C7" w:rsidRDefault="00DF167D" w:rsidP="00DF167D">
      <w:pPr>
        <w:pStyle w:val="Text1"/>
      </w:pPr>
      <w:r w:rsidRPr="00AA77C7">
        <w:t>Hodnocení v polovině období proběhne do 31. prosince 2024. Konečné hodnocení bude realizováno do 31. prosince 2029.</w:t>
      </w:r>
    </w:p>
    <w:p w:rsidR="00DF167D" w:rsidRPr="00AA77C7" w:rsidRDefault="00DF167D" w:rsidP="00DF167D">
      <w:pPr>
        <w:pStyle w:val="Text1"/>
      </w:pPr>
      <w:r w:rsidRPr="00AA77C7">
        <w:t>Monitorování bude probíhat v souladu s požadavky dohodnutými v memorandu o porozumění s agenturou EACEA.</w:t>
      </w:r>
    </w:p>
    <w:p w:rsidR="00DF167D" w:rsidRPr="00AA77C7" w:rsidRDefault="00DF167D" w:rsidP="00DF167D">
      <w:pPr>
        <w:pStyle w:val="Nadpis2"/>
        <w:rPr>
          <w:bCs w:val="0"/>
          <w:noProof/>
          <w:szCs w:val="24"/>
        </w:rPr>
      </w:pPr>
      <w:r w:rsidRPr="00AA77C7">
        <w:t xml:space="preserve">Systémy řízení a kontroly </w:t>
      </w:r>
    </w:p>
    <w:p w:rsidR="00DF167D" w:rsidRPr="00AA77C7" w:rsidRDefault="00DF167D" w:rsidP="00DF167D">
      <w:pPr>
        <w:pStyle w:val="Nadpis3"/>
        <w:rPr>
          <w:noProof/>
        </w:rPr>
      </w:pPr>
      <w:r w:rsidRPr="00AA77C7">
        <w:t>Odůvodnění navrhovaných způsobů řízení, mechanismů provádění financování, způsobů plateb a kontrolní strategie.</w:t>
      </w:r>
    </w:p>
    <w:p w:rsidR="00DF167D" w:rsidRPr="00AA77C7" w:rsidRDefault="00DF167D" w:rsidP="00DF167D">
      <w:pPr>
        <w:pBdr>
          <w:top w:val="single" w:sz="4" w:space="1" w:color="auto"/>
          <w:left w:val="single" w:sz="4" w:space="4" w:color="auto"/>
          <w:bottom w:val="single" w:sz="4" w:space="1" w:color="auto"/>
          <w:right w:val="single" w:sz="4" w:space="4" w:color="auto"/>
        </w:pBdr>
        <w:ind w:left="850"/>
        <w:rPr>
          <w:rFonts w:eastAsia="Times New Roman"/>
          <w:noProof/>
        </w:rPr>
      </w:pPr>
      <w:r w:rsidRPr="00AA77C7">
        <w:t>Většinu opatření programu bude pravděpodobně nadále provádět agentura EACEA, a to z důvodu nákladové efektivnosti. Současný režim provádění se prozatím ukázal jako účinný a míra chyb je v současnosti na základě předběžných výsledků současného víceletého finančního rámce nižší než 2 %. Větší část financování bude realizována zejména prostřednictvím grantů.  Tyto granty budou mít většinou podobu skutečných nákladů, ale může jít i o jednorázové částky, paušály, jednotkové náklady nebo o jejich kombinaci.</w:t>
      </w:r>
    </w:p>
    <w:p w:rsidR="00DF167D" w:rsidRPr="00AA77C7" w:rsidRDefault="00DF167D" w:rsidP="00DF167D">
      <w:pPr>
        <w:pBdr>
          <w:top w:val="single" w:sz="4" w:space="1" w:color="auto"/>
          <w:left w:val="single" w:sz="4" w:space="4" w:color="auto"/>
          <w:bottom w:val="single" w:sz="4" w:space="1" w:color="auto"/>
          <w:right w:val="single" w:sz="4" w:space="4" w:color="auto"/>
        </w:pBdr>
        <w:ind w:left="850"/>
        <w:rPr>
          <w:rFonts w:eastAsia="Times New Roman"/>
          <w:noProof/>
        </w:rPr>
      </w:pPr>
      <w:r w:rsidRPr="00AA77C7">
        <w:t>Použití stupnic jednotkových nákladů a jiných zjednodušených opatření sníží chybovost žádostí o proplacení nákladů. Bude uplatněno několik opatření, která například umožní snazší přístup malým organizacím, zjednodušení pokynů a postupů na základě finančního nařízení (viz výše). Složka MEDIA za účelem lepšího zaměření zefektivní relativně vysoký počet jednotlivých opatření.</w:t>
      </w:r>
    </w:p>
    <w:p w:rsidR="00DF167D" w:rsidRPr="00AA77C7" w:rsidRDefault="00DF167D" w:rsidP="00DF167D">
      <w:pPr>
        <w:pStyle w:val="Text1"/>
      </w:pPr>
    </w:p>
    <w:p w:rsidR="00DF167D" w:rsidRPr="00AA77C7" w:rsidRDefault="00DF167D" w:rsidP="00DF167D">
      <w:pPr>
        <w:pStyle w:val="Nadpis3"/>
        <w:rPr>
          <w:bCs w:val="0"/>
          <w:noProof/>
          <w:szCs w:val="24"/>
        </w:rPr>
      </w:pPr>
      <w:r w:rsidRPr="00AA77C7">
        <w:lastRenderedPageBreak/>
        <w:t>Informace o zjištěných rizicích a systémech vnitřní kontroly zřízených k jejich zmírnění.</w:t>
      </w:r>
    </w:p>
    <w:tbl>
      <w:tblPr>
        <w:tblStyle w:val="Mkatabulky"/>
        <w:tblW w:w="0" w:type="auto"/>
        <w:tblInd w:w="817" w:type="dxa"/>
        <w:tblLook w:val="04A0" w:firstRow="1" w:lastRow="0" w:firstColumn="1" w:lastColumn="0" w:noHBand="0" w:noVBand="1"/>
      </w:tblPr>
      <w:tblGrid>
        <w:gridCol w:w="8470"/>
      </w:tblGrid>
      <w:tr w:rsidR="00DF167D" w:rsidRPr="00AA77C7" w:rsidTr="009536F9">
        <w:tc>
          <w:tcPr>
            <w:tcW w:w="8470" w:type="dxa"/>
          </w:tcPr>
          <w:p w:rsidR="00DF167D" w:rsidRPr="00AA77C7" w:rsidRDefault="00DF167D" w:rsidP="009536F9">
            <w:pPr>
              <w:pStyle w:val="Nadpis3"/>
              <w:numPr>
                <w:ilvl w:val="2"/>
                <w:numId w:val="0"/>
              </w:numPr>
              <w:outlineLvl w:val="2"/>
              <w:rPr>
                <w:i w:val="0"/>
                <w:noProof/>
              </w:rPr>
            </w:pPr>
            <w:r w:rsidRPr="00AA77C7">
              <w:rPr>
                <w:i w:val="0"/>
                <w:noProof/>
              </w:rPr>
              <w:t>Program Kreativní Evropa čelí stejným rizikům jako ostatní programy Komise, které cílí na malé příjemce, kteří jsou rozmanití svou povahou. Řada příjemců je nových a nebo nedisponují rozsáhlými administrativními strukturami.</w:t>
            </w:r>
          </w:p>
          <w:p w:rsidR="00DF167D" w:rsidRPr="00AA77C7" w:rsidRDefault="00DF167D" w:rsidP="009536F9">
            <w:pPr>
              <w:pStyle w:val="Nadpis3"/>
              <w:numPr>
                <w:ilvl w:val="2"/>
                <w:numId w:val="0"/>
              </w:numPr>
              <w:outlineLvl w:val="2"/>
              <w:rPr>
                <w:i w:val="0"/>
                <w:noProof/>
              </w:rPr>
            </w:pPr>
            <w:r w:rsidRPr="00AA77C7">
              <w:rPr>
                <w:i w:val="0"/>
                <w:noProof/>
              </w:rPr>
              <w:t xml:space="preserve">Větší díl Kreativní Evropy bude pravděpodobně i nadále realizovat agentura EACEA. V roce 2018 odhalil Útvarem interního auditu  provedený audit EACEA zaměřený na řízení auditů fáze I (od výzvy po podepsání smluv) slabiny systému vnitřní kontroly, zejména složky III „Kontrolní činnosti“ a IV „Informace a komunikace“.  Je zejména třeba posílit úlohu hodnotících výborů a řízení externích odborníků při udělování grantů.   </w:t>
            </w:r>
          </w:p>
          <w:p w:rsidR="00DF167D" w:rsidRPr="00AA77C7" w:rsidRDefault="00DF167D" w:rsidP="009536F9">
            <w:pPr>
              <w:pStyle w:val="Nadpis3"/>
              <w:numPr>
                <w:ilvl w:val="2"/>
                <w:numId w:val="0"/>
              </w:numPr>
              <w:outlineLvl w:val="2"/>
              <w:rPr>
                <w:i w:val="0"/>
                <w:noProof/>
              </w:rPr>
            </w:pPr>
            <w:r w:rsidRPr="00AA77C7">
              <w:rPr>
                <w:i w:val="0"/>
                <w:noProof/>
              </w:rPr>
              <w:t xml:space="preserve">V reakci na to agentura zavedla akční plán zaměřený na revizi postupů, pokynů a šablon. Obsahuje bezprostřední opatření (např. řádnou dokumentaci postupů a okamžité změny postupů použité okamžitě u prvních výzev v roce 2018) a další změny ve fungování EACEA, které budou provedeny v roce 2018.  Konkrétně byly zavedeny upravené postupy hodnocení výzev k podávání návrhů, důsledky čehož z hlediska nákladů na kontroly budou teprve vyhodnoceny.  </w:t>
            </w:r>
          </w:p>
          <w:p w:rsidR="00DF167D" w:rsidRPr="00AA77C7" w:rsidRDefault="00DF167D" w:rsidP="009536F9">
            <w:pPr>
              <w:pStyle w:val="Nadpis3"/>
              <w:numPr>
                <w:ilvl w:val="2"/>
                <w:numId w:val="0"/>
              </w:numPr>
              <w:outlineLvl w:val="2"/>
              <w:rPr>
                <w:i w:val="0"/>
                <w:noProof/>
              </w:rPr>
            </w:pPr>
            <w:r w:rsidRPr="00AA77C7">
              <w:rPr>
                <w:i w:val="0"/>
                <w:noProof/>
              </w:rPr>
              <w:t>Za akční plán odpovídá EACEA s podporou nadřízených generálních ředitelství. Dohled nadřízených generálních ředitelství nad EACEA byl nicméně posílen.</w:t>
            </w:r>
          </w:p>
        </w:tc>
      </w:tr>
    </w:tbl>
    <w:p w:rsidR="00DF167D" w:rsidRPr="00AA77C7" w:rsidRDefault="00DF167D" w:rsidP="00DF167D">
      <w:pPr>
        <w:pStyle w:val="Nadpis3"/>
        <w:rPr>
          <w:noProof/>
        </w:rPr>
      </w:pPr>
      <w:r w:rsidRPr="00AA77C7">
        <w:t xml:space="preserve">Odhad a odůvodnění nákladové efektivnosti kontrol (poměr „náklady na kontroly ÷ hodnota souvisejících spravovaných finančních prostředků“) a posouzení očekávané míry rizika výskytu chyb (při platbě a při uzávěrce). </w:t>
      </w:r>
    </w:p>
    <w:p w:rsidR="00DF167D" w:rsidRPr="00AA77C7" w:rsidRDefault="00B00630" w:rsidP="00DF167D">
      <w:pPr>
        <w:pBdr>
          <w:top w:val="single" w:sz="4" w:space="1" w:color="auto"/>
          <w:left w:val="single" w:sz="4" w:space="4" w:color="auto"/>
          <w:bottom w:val="single" w:sz="4" w:space="1" w:color="auto"/>
          <w:right w:val="single" w:sz="4" w:space="4" w:color="auto"/>
        </w:pBdr>
        <w:ind w:left="850"/>
        <w:rPr>
          <w:rFonts w:eastAsia="Times New Roman"/>
          <w:noProof/>
        </w:rPr>
      </w:pPr>
      <w:r w:rsidRPr="00AA77C7">
        <w:t>V návaznosti na audit provedený Útvarem interního audit v agentuře EACEA v období 2017/18 byly zavedeny upravené postupy hodnocení výzev k podávání návrhů, důsledky čehož z hlediska nákladů na kontroly budou teprve vyhodnoceny. Došlo ke zvýšení monitorování mezi nadřízenými generálními ředitelstvími a agenturou EACEA, což umožnilo posílit dohled jménem Komise.</w:t>
      </w:r>
    </w:p>
    <w:p w:rsidR="00DF167D" w:rsidRPr="00AA77C7" w:rsidRDefault="00DF167D" w:rsidP="00DF167D">
      <w:pPr>
        <w:pStyle w:val="Nadpis2"/>
        <w:rPr>
          <w:bCs w:val="0"/>
          <w:noProof/>
          <w:szCs w:val="24"/>
        </w:rPr>
      </w:pPr>
      <w:r w:rsidRPr="00AA77C7">
        <w:t xml:space="preserve">Opatření k zamezení podvodů a nesrovnalostí </w:t>
      </w:r>
    </w:p>
    <w:p w:rsidR="00DF167D" w:rsidRPr="00AA77C7" w:rsidRDefault="00DF167D" w:rsidP="00DF167D">
      <w:pPr>
        <w:pStyle w:val="Text1"/>
        <w:rPr>
          <w:i/>
          <w:sz w:val="20"/>
        </w:rPr>
      </w:pPr>
      <w:r w:rsidRPr="00AA77C7">
        <w:rPr>
          <w:i/>
          <w:sz w:val="20"/>
        </w:rPr>
        <w:t>Upřesněte stávající či předpokládaná preventivní a ochranná opatření, např. opatření uvedená ve strategii pro boj proti podvodům.</w:t>
      </w:r>
    </w:p>
    <w:p w:rsidR="00DF167D" w:rsidRPr="00AA77C7" w:rsidRDefault="00DF167D" w:rsidP="00DF167D">
      <w:pPr>
        <w:pStyle w:val="Text1"/>
      </w:pPr>
      <w:r w:rsidRPr="00AA77C7">
        <w:t>Řešit riziko podvodů umožní strategie EACEA (aktualizovaná v roce 2018) i Komise pro boj proti podvodům, zejména opatřeními k předcházení nesrovnalostí, která v případě odhalení podvodu eskalují.</w:t>
      </w:r>
    </w:p>
    <w:p w:rsidR="00DF167D" w:rsidRPr="00AA77C7" w:rsidRDefault="00DF167D" w:rsidP="00DF167D">
      <w:pPr>
        <w:pStyle w:val="Text1"/>
      </w:pPr>
      <w:r w:rsidRPr="00AA77C7">
        <w:t>V nadřízeném generálním ředitelství i v EACEA budou i nadále uplatňována tato opatření: monitorování od stolu, monitorovací mise v souladu s definovanou strategií monitorování, jasné požadavky na hlášení v grantových dohodách s příjemci, úvodní schůzky s novými příjemci, možnost snížit granty při nedodání výsledků nebo neplnění některých podmínek pro financování, například podmínek týkajících se komunikace.</w:t>
      </w:r>
    </w:p>
    <w:p w:rsidR="00DF167D" w:rsidRPr="00AA77C7" w:rsidRDefault="00DF167D" w:rsidP="00DF167D">
      <w:pPr>
        <w:pStyle w:val="Text1"/>
        <w:sectPr w:rsidR="00DF167D" w:rsidRPr="00AA77C7" w:rsidSect="00DA02CA">
          <w:pgSz w:w="11907" w:h="16840" w:code="9"/>
          <w:pgMar w:top="1134" w:right="1418" w:bottom="1134" w:left="1418" w:header="709" w:footer="709" w:gutter="0"/>
          <w:cols w:space="708"/>
          <w:docGrid w:linePitch="360"/>
        </w:sectPr>
      </w:pPr>
    </w:p>
    <w:p w:rsidR="00DF167D" w:rsidRPr="00AA77C7" w:rsidRDefault="00DF167D" w:rsidP="00DF167D">
      <w:pPr>
        <w:pStyle w:val="Nadpis1"/>
        <w:rPr>
          <w:bCs w:val="0"/>
          <w:noProof/>
          <w:szCs w:val="24"/>
        </w:rPr>
      </w:pPr>
      <w:r w:rsidRPr="00AA77C7">
        <w:lastRenderedPageBreak/>
        <w:t xml:space="preserve">ODHADOVANÝ FINANČNÍ DOPAD NÁVRHU/PODNĚTU </w:t>
      </w:r>
    </w:p>
    <w:p w:rsidR="00DF167D" w:rsidRPr="00AA77C7" w:rsidRDefault="00DF167D" w:rsidP="00DF167D">
      <w:pPr>
        <w:pStyle w:val="Nadpis2"/>
        <w:rPr>
          <w:noProof/>
        </w:rPr>
      </w:pPr>
      <w:r w:rsidRPr="00AA77C7">
        <w:t xml:space="preserve">Okruh víceletého finančního rámce a nově navržené výdajové rozpočtové položky </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CB55E2" w:rsidRPr="00AA77C7" w:rsidTr="009536F9">
        <w:tc>
          <w:tcPr>
            <w:tcW w:w="1080" w:type="dxa"/>
            <w:vMerge w:val="restart"/>
            <w:vAlign w:val="center"/>
          </w:tcPr>
          <w:p w:rsidR="00DF167D" w:rsidRPr="00AA77C7" w:rsidRDefault="00DF167D" w:rsidP="009536F9">
            <w:pPr>
              <w:spacing w:before="60" w:after="60"/>
              <w:jc w:val="center"/>
              <w:rPr>
                <w:noProof/>
              </w:rPr>
            </w:pPr>
            <w:r w:rsidRPr="00AA77C7">
              <w:rPr>
                <w:noProof/>
                <w:sz w:val="18"/>
              </w:rPr>
              <w:t>Okruh víceletého finančního rámce</w:t>
            </w:r>
          </w:p>
        </w:tc>
        <w:tc>
          <w:tcPr>
            <w:tcW w:w="3960" w:type="dxa"/>
            <w:vAlign w:val="center"/>
          </w:tcPr>
          <w:p w:rsidR="00DF167D" w:rsidRPr="00AA77C7" w:rsidRDefault="00DF167D" w:rsidP="009536F9">
            <w:pPr>
              <w:spacing w:before="60" w:after="60"/>
              <w:jc w:val="center"/>
              <w:rPr>
                <w:noProof/>
              </w:rPr>
            </w:pPr>
            <w:r w:rsidRPr="00AA77C7">
              <w:rPr>
                <w:noProof/>
                <w:sz w:val="20"/>
              </w:rPr>
              <w:t>Rozpočtová položka</w:t>
            </w:r>
          </w:p>
        </w:tc>
        <w:tc>
          <w:tcPr>
            <w:tcW w:w="1080" w:type="dxa"/>
            <w:vAlign w:val="center"/>
          </w:tcPr>
          <w:p w:rsidR="00DF167D" w:rsidRPr="00AA77C7" w:rsidRDefault="00DF167D" w:rsidP="009536F9">
            <w:pPr>
              <w:spacing w:before="60" w:after="60"/>
              <w:jc w:val="center"/>
              <w:rPr>
                <w:noProof/>
              </w:rPr>
            </w:pPr>
            <w:r w:rsidRPr="00AA77C7">
              <w:rPr>
                <w:noProof/>
                <w:sz w:val="18"/>
              </w:rPr>
              <w:t xml:space="preserve">Druh </w:t>
            </w:r>
            <w:r w:rsidRPr="00AA77C7">
              <w:rPr>
                <w:noProof/>
                <w:sz w:val="22"/>
              </w:rPr>
              <w:br/>
            </w:r>
            <w:r w:rsidRPr="00AA77C7">
              <w:rPr>
                <w:noProof/>
                <w:sz w:val="18"/>
              </w:rPr>
              <w:t>výdaje</w:t>
            </w:r>
          </w:p>
        </w:tc>
        <w:tc>
          <w:tcPr>
            <w:tcW w:w="4440" w:type="dxa"/>
            <w:gridSpan w:val="4"/>
            <w:vAlign w:val="center"/>
          </w:tcPr>
          <w:p w:rsidR="00DF167D" w:rsidRPr="00AA77C7" w:rsidRDefault="00DF167D" w:rsidP="009536F9">
            <w:pPr>
              <w:spacing w:before="60" w:after="60"/>
              <w:jc w:val="center"/>
              <w:rPr>
                <w:noProof/>
              </w:rPr>
            </w:pPr>
            <w:r w:rsidRPr="00AA77C7">
              <w:rPr>
                <w:noProof/>
                <w:sz w:val="20"/>
              </w:rPr>
              <w:t xml:space="preserve">Příspěvek </w:t>
            </w:r>
          </w:p>
        </w:tc>
      </w:tr>
      <w:tr w:rsidR="00CB55E2" w:rsidRPr="00AA77C7" w:rsidTr="009536F9">
        <w:tc>
          <w:tcPr>
            <w:tcW w:w="1080" w:type="dxa"/>
            <w:vMerge/>
            <w:vAlign w:val="center"/>
          </w:tcPr>
          <w:p w:rsidR="00DF167D" w:rsidRPr="00AA77C7" w:rsidRDefault="00DF167D" w:rsidP="009536F9">
            <w:pPr>
              <w:jc w:val="center"/>
              <w:rPr>
                <w:noProof/>
              </w:rPr>
            </w:pPr>
          </w:p>
        </w:tc>
        <w:tc>
          <w:tcPr>
            <w:tcW w:w="3960" w:type="dxa"/>
            <w:vAlign w:val="center"/>
          </w:tcPr>
          <w:p w:rsidR="00DB0D82" w:rsidRPr="00AA77C7" w:rsidRDefault="00DB0D82" w:rsidP="00DB0D82">
            <w:pPr>
              <w:rPr>
                <w:rFonts w:eastAsia="Times New Roman"/>
                <w:sz w:val="20"/>
                <w:szCs w:val="20"/>
                <w:bdr w:val="none" w:sz="0" w:space="0" w:color="auto" w:frame="1"/>
              </w:rPr>
            </w:pPr>
            <w:r w:rsidRPr="00AA77C7">
              <w:rPr>
                <w:sz w:val="20"/>
                <w:bdr w:val="none" w:sz="0" w:space="0" w:color="auto" w:frame="1"/>
              </w:rPr>
              <w:t>Okruh 2. „Soudržnost a hodnoty“</w:t>
            </w:r>
          </w:p>
          <w:p w:rsidR="00DB0D82" w:rsidRPr="00AA77C7" w:rsidRDefault="00DB0D82" w:rsidP="00DB0D82">
            <w:pPr>
              <w:rPr>
                <w:rFonts w:eastAsia="Times New Roman"/>
                <w:sz w:val="20"/>
                <w:szCs w:val="20"/>
                <w:bdr w:val="none" w:sz="0" w:space="0" w:color="auto" w:frame="1"/>
              </w:rPr>
            </w:pPr>
            <w:r w:rsidRPr="00AA77C7">
              <w:rPr>
                <w:sz w:val="20"/>
                <w:bdr w:val="none" w:sz="0" w:space="0" w:color="auto" w:frame="1"/>
              </w:rPr>
              <w:t>Hlava 07 „Investice do lidí, sociální soudržnost a hodnoty“</w:t>
            </w:r>
          </w:p>
          <w:p w:rsidR="00DF167D" w:rsidRPr="00AA77C7" w:rsidRDefault="00DB0D82" w:rsidP="00DB0D82">
            <w:pPr>
              <w:rPr>
                <w:noProof/>
              </w:rPr>
            </w:pPr>
            <w:r w:rsidRPr="00AA77C7">
              <w:rPr>
                <w:sz w:val="20"/>
                <w:bdr w:val="none" w:sz="0" w:space="0" w:color="auto" w:frame="1"/>
              </w:rPr>
              <w:t>Kapitola 05 „Kreativní Evropa“</w:t>
            </w:r>
          </w:p>
        </w:tc>
        <w:tc>
          <w:tcPr>
            <w:tcW w:w="1080" w:type="dxa"/>
            <w:vAlign w:val="center"/>
          </w:tcPr>
          <w:p w:rsidR="00DF167D" w:rsidRPr="00AA77C7" w:rsidRDefault="00DF167D" w:rsidP="009536F9">
            <w:pPr>
              <w:jc w:val="center"/>
              <w:rPr>
                <w:noProof/>
              </w:rPr>
            </w:pPr>
            <w:r w:rsidRPr="00AA77C7">
              <w:rPr>
                <w:noProof/>
                <w:sz w:val="18"/>
              </w:rPr>
              <w:t>RP/NRP</w:t>
            </w:r>
            <w:r w:rsidRPr="00AA77C7">
              <w:rPr>
                <w:rStyle w:val="Znakapoznpodarou"/>
                <w:noProof/>
                <w:sz w:val="18"/>
              </w:rPr>
              <w:footnoteReference w:id="34"/>
            </w:r>
          </w:p>
        </w:tc>
        <w:tc>
          <w:tcPr>
            <w:tcW w:w="956" w:type="dxa"/>
            <w:vAlign w:val="center"/>
          </w:tcPr>
          <w:p w:rsidR="00DF167D" w:rsidRPr="00AA77C7" w:rsidRDefault="00DF167D" w:rsidP="009536F9">
            <w:pPr>
              <w:jc w:val="center"/>
              <w:rPr>
                <w:noProof/>
              </w:rPr>
            </w:pPr>
            <w:r w:rsidRPr="00AA77C7">
              <w:rPr>
                <w:noProof/>
                <w:sz w:val="18"/>
              </w:rPr>
              <w:t>zemí ESVO</w:t>
            </w:r>
            <w:r w:rsidRPr="00AA77C7">
              <w:rPr>
                <w:rStyle w:val="Znakapoznpodarou"/>
                <w:noProof/>
                <w:sz w:val="18"/>
              </w:rPr>
              <w:footnoteReference w:id="35"/>
            </w:r>
          </w:p>
          <w:p w:rsidR="00DF167D" w:rsidRPr="00AA77C7" w:rsidRDefault="00DF167D" w:rsidP="009536F9">
            <w:pPr>
              <w:spacing w:before="0" w:after="0"/>
              <w:jc w:val="center"/>
              <w:rPr>
                <w:b/>
                <w:noProof/>
                <w:sz w:val="18"/>
              </w:rPr>
            </w:pPr>
          </w:p>
        </w:tc>
        <w:tc>
          <w:tcPr>
            <w:tcW w:w="1080" w:type="dxa"/>
            <w:vAlign w:val="center"/>
          </w:tcPr>
          <w:p w:rsidR="00DF167D" w:rsidRPr="00AA77C7" w:rsidRDefault="00DF167D" w:rsidP="009536F9">
            <w:pPr>
              <w:jc w:val="center"/>
              <w:rPr>
                <w:noProof/>
              </w:rPr>
            </w:pPr>
            <w:r w:rsidRPr="00AA77C7">
              <w:rPr>
                <w:noProof/>
                <w:sz w:val="18"/>
              </w:rPr>
              <w:t>kandidátských zemí</w:t>
            </w:r>
            <w:r w:rsidRPr="00AA77C7">
              <w:rPr>
                <w:rStyle w:val="Znakapoznpodarou"/>
                <w:noProof/>
                <w:sz w:val="18"/>
              </w:rPr>
              <w:footnoteReference w:id="36"/>
            </w:r>
          </w:p>
          <w:p w:rsidR="00DF167D" w:rsidRPr="00AA77C7" w:rsidRDefault="00DF167D" w:rsidP="009536F9">
            <w:pPr>
              <w:spacing w:before="0" w:after="0"/>
              <w:jc w:val="center"/>
              <w:rPr>
                <w:noProof/>
                <w:sz w:val="18"/>
              </w:rPr>
            </w:pPr>
          </w:p>
        </w:tc>
        <w:tc>
          <w:tcPr>
            <w:tcW w:w="956" w:type="dxa"/>
            <w:vAlign w:val="center"/>
          </w:tcPr>
          <w:p w:rsidR="00DF167D" w:rsidRPr="00AA77C7" w:rsidRDefault="00DF167D" w:rsidP="009536F9">
            <w:pPr>
              <w:jc w:val="center"/>
              <w:rPr>
                <w:noProof/>
                <w:sz w:val="18"/>
              </w:rPr>
            </w:pPr>
            <w:r w:rsidRPr="00AA77C7">
              <w:rPr>
                <w:noProof/>
                <w:sz w:val="18"/>
              </w:rPr>
              <w:t>třetích zemí</w:t>
            </w:r>
          </w:p>
        </w:tc>
        <w:tc>
          <w:tcPr>
            <w:tcW w:w="1448" w:type="dxa"/>
            <w:vAlign w:val="center"/>
          </w:tcPr>
          <w:p w:rsidR="00DF167D" w:rsidRPr="00AA77C7" w:rsidRDefault="00DF167D" w:rsidP="009536F9">
            <w:pPr>
              <w:jc w:val="center"/>
              <w:rPr>
                <w:noProof/>
              </w:rPr>
            </w:pPr>
            <w:r w:rsidRPr="00AA77C7">
              <w:rPr>
                <w:noProof/>
                <w:sz w:val="16"/>
              </w:rPr>
              <w:t xml:space="preserve">ve smyslu čl. [21 odst. 2 písm. b)] finančního nařízení </w:t>
            </w:r>
          </w:p>
        </w:tc>
      </w:tr>
      <w:tr w:rsidR="00CB55E2" w:rsidRPr="00AA77C7" w:rsidTr="009536F9">
        <w:tc>
          <w:tcPr>
            <w:tcW w:w="1080" w:type="dxa"/>
            <w:vAlign w:val="center"/>
          </w:tcPr>
          <w:p w:rsidR="00DF167D" w:rsidRPr="00AA77C7" w:rsidRDefault="00DF167D" w:rsidP="009536F9">
            <w:pPr>
              <w:jc w:val="center"/>
              <w:rPr>
                <w:noProof/>
              </w:rPr>
            </w:pPr>
            <w:r w:rsidRPr="00AA77C7">
              <w:t>2</w:t>
            </w:r>
          </w:p>
        </w:tc>
        <w:tc>
          <w:tcPr>
            <w:tcW w:w="3960" w:type="dxa"/>
            <w:vAlign w:val="center"/>
          </w:tcPr>
          <w:p w:rsidR="00DF167D" w:rsidRPr="00AA77C7" w:rsidRDefault="00DF167D" w:rsidP="009536F9">
            <w:pPr>
              <w:spacing w:before="60"/>
              <w:rPr>
                <w:rStyle w:val="Marker"/>
                <w:noProof/>
                <w:color w:val="auto"/>
                <w:sz w:val="22"/>
              </w:rPr>
            </w:pPr>
            <w:r w:rsidRPr="00AA77C7">
              <w:t>07 01 04 XX Správní výdaje – Kreativní Evropa</w:t>
            </w:r>
          </w:p>
        </w:tc>
        <w:tc>
          <w:tcPr>
            <w:tcW w:w="1080" w:type="dxa"/>
            <w:vAlign w:val="center"/>
          </w:tcPr>
          <w:p w:rsidR="00DF167D" w:rsidRPr="00AA77C7" w:rsidRDefault="00DF167D" w:rsidP="009536F9">
            <w:pPr>
              <w:jc w:val="center"/>
              <w:rPr>
                <w:noProof/>
                <w:sz w:val="22"/>
              </w:rPr>
            </w:pPr>
            <w:r w:rsidRPr="00AA77C7">
              <w:rPr>
                <w:noProof/>
                <w:sz w:val="22"/>
              </w:rPr>
              <w:t>NRP</w:t>
            </w:r>
          </w:p>
        </w:tc>
        <w:tc>
          <w:tcPr>
            <w:tcW w:w="956" w:type="dxa"/>
            <w:vAlign w:val="center"/>
          </w:tcPr>
          <w:p w:rsidR="00DF167D" w:rsidRPr="00AA77C7" w:rsidRDefault="00DF167D" w:rsidP="009536F9">
            <w:pPr>
              <w:jc w:val="center"/>
              <w:rPr>
                <w:noProof/>
                <w:sz w:val="22"/>
              </w:rPr>
            </w:pPr>
            <w:r w:rsidRPr="00AA77C7">
              <w:rPr>
                <w:noProof/>
                <w:sz w:val="22"/>
              </w:rPr>
              <w:t>ANO</w:t>
            </w:r>
          </w:p>
        </w:tc>
        <w:tc>
          <w:tcPr>
            <w:tcW w:w="1080" w:type="dxa"/>
            <w:vAlign w:val="center"/>
          </w:tcPr>
          <w:p w:rsidR="00DF167D" w:rsidRPr="00AA77C7" w:rsidRDefault="00DF167D" w:rsidP="009536F9">
            <w:pPr>
              <w:jc w:val="center"/>
              <w:rPr>
                <w:noProof/>
                <w:sz w:val="22"/>
              </w:rPr>
            </w:pPr>
            <w:r w:rsidRPr="00AA77C7">
              <w:rPr>
                <w:noProof/>
                <w:sz w:val="22"/>
              </w:rPr>
              <w:t>ANO</w:t>
            </w:r>
          </w:p>
        </w:tc>
        <w:tc>
          <w:tcPr>
            <w:tcW w:w="956" w:type="dxa"/>
            <w:vAlign w:val="center"/>
          </w:tcPr>
          <w:p w:rsidR="00DF167D" w:rsidRPr="00AA77C7" w:rsidRDefault="00DF167D" w:rsidP="009536F9">
            <w:pPr>
              <w:jc w:val="center"/>
              <w:rPr>
                <w:noProof/>
                <w:sz w:val="22"/>
              </w:rPr>
            </w:pPr>
            <w:r w:rsidRPr="00AA77C7">
              <w:rPr>
                <w:noProof/>
                <w:sz w:val="22"/>
              </w:rPr>
              <w:t>ANO</w:t>
            </w:r>
          </w:p>
        </w:tc>
        <w:tc>
          <w:tcPr>
            <w:tcW w:w="1448" w:type="dxa"/>
            <w:vAlign w:val="center"/>
          </w:tcPr>
          <w:p w:rsidR="00DF167D" w:rsidRPr="00AA77C7" w:rsidRDefault="00DF167D" w:rsidP="009536F9">
            <w:pPr>
              <w:jc w:val="center"/>
              <w:rPr>
                <w:noProof/>
                <w:sz w:val="22"/>
              </w:rPr>
            </w:pPr>
            <w:r w:rsidRPr="00AA77C7">
              <w:rPr>
                <w:noProof/>
                <w:sz w:val="22"/>
              </w:rPr>
              <w:t>NE</w:t>
            </w:r>
          </w:p>
        </w:tc>
      </w:tr>
      <w:tr w:rsidR="00CB55E2" w:rsidRPr="00AA77C7" w:rsidTr="009536F9">
        <w:tc>
          <w:tcPr>
            <w:tcW w:w="1080" w:type="dxa"/>
            <w:vAlign w:val="center"/>
          </w:tcPr>
          <w:p w:rsidR="00DF167D" w:rsidRPr="00AA77C7" w:rsidRDefault="00DF167D" w:rsidP="009536F9">
            <w:pPr>
              <w:jc w:val="center"/>
              <w:rPr>
                <w:noProof/>
              </w:rPr>
            </w:pPr>
            <w:r w:rsidRPr="00AA77C7">
              <w:t>2</w:t>
            </w:r>
          </w:p>
        </w:tc>
        <w:tc>
          <w:tcPr>
            <w:tcW w:w="3960" w:type="dxa"/>
            <w:vAlign w:val="center"/>
          </w:tcPr>
          <w:p w:rsidR="00DF167D" w:rsidRPr="00AA77C7" w:rsidRDefault="00DF167D" w:rsidP="009536F9">
            <w:pPr>
              <w:spacing w:after="60"/>
              <w:rPr>
                <w:noProof/>
              </w:rPr>
            </w:pPr>
            <w:r w:rsidRPr="00AA77C7">
              <w:t>07 05 01  –  KULTURA</w:t>
            </w:r>
          </w:p>
        </w:tc>
        <w:tc>
          <w:tcPr>
            <w:tcW w:w="1080" w:type="dxa"/>
            <w:vAlign w:val="center"/>
          </w:tcPr>
          <w:p w:rsidR="00DF167D" w:rsidRPr="00AA77C7" w:rsidRDefault="00DF167D" w:rsidP="009536F9">
            <w:pPr>
              <w:jc w:val="center"/>
              <w:rPr>
                <w:noProof/>
                <w:sz w:val="22"/>
              </w:rPr>
            </w:pPr>
            <w:r w:rsidRPr="00AA77C7">
              <w:rPr>
                <w:noProof/>
                <w:sz w:val="22"/>
              </w:rPr>
              <w:t>RP</w:t>
            </w:r>
          </w:p>
        </w:tc>
        <w:tc>
          <w:tcPr>
            <w:tcW w:w="956" w:type="dxa"/>
            <w:vAlign w:val="center"/>
          </w:tcPr>
          <w:p w:rsidR="00DF167D" w:rsidRPr="00AA77C7" w:rsidRDefault="00DF167D" w:rsidP="009536F9">
            <w:pPr>
              <w:jc w:val="center"/>
              <w:rPr>
                <w:noProof/>
                <w:sz w:val="22"/>
              </w:rPr>
            </w:pPr>
            <w:r w:rsidRPr="00AA77C7">
              <w:rPr>
                <w:noProof/>
                <w:sz w:val="22"/>
              </w:rPr>
              <w:t>ANO</w:t>
            </w:r>
          </w:p>
        </w:tc>
        <w:tc>
          <w:tcPr>
            <w:tcW w:w="1080" w:type="dxa"/>
            <w:vAlign w:val="center"/>
          </w:tcPr>
          <w:p w:rsidR="00DF167D" w:rsidRPr="00AA77C7" w:rsidRDefault="00DF167D" w:rsidP="009536F9">
            <w:pPr>
              <w:jc w:val="center"/>
              <w:rPr>
                <w:noProof/>
                <w:sz w:val="22"/>
              </w:rPr>
            </w:pPr>
            <w:r w:rsidRPr="00AA77C7">
              <w:rPr>
                <w:noProof/>
                <w:sz w:val="22"/>
              </w:rPr>
              <w:t>ANO</w:t>
            </w:r>
          </w:p>
        </w:tc>
        <w:tc>
          <w:tcPr>
            <w:tcW w:w="956" w:type="dxa"/>
            <w:vAlign w:val="center"/>
          </w:tcPr>
          <w:p w:rsidR="00DF167D" w:rsidRPr="00AA77C7" w:rsidRDefault="00DF167D" w:rsidP="009536F9">
            <w:pPr>
              <w:jc w:val="center"/>
              <w:rPr>
                <w:noProof/>
                <w:sz w:val="22"/>
              </w:rPr>
            </w:pPr>
            <w:r w:rsidRPr="00AA77C7">
              <w:rPr>
                <w:noProof/>
                <w:sz w:val="22"/>
              </w:rPr>
              <w:t>ANO</w:t>
            </w:r>
          </w:p>
        </w:tc>
        <w:tc>
          <w:tcPr>
            <w:tcW w:w="1448" w:type="dxa"/>
            <w:vAlign w:val="center"/>
          </w:tcPr>
          <w:p w:rsidR="00DF167D" w:rsidRPr="00AA77C7" w:rsidRDefault="00DF167D" w:rsidP="009536F9">
            <w:pPr>
              <w:jc w:val="center"/>
              <w:rPr>
                <w:noProof/>
                <w:sz w:val="22"/>
              </w:rPr>
            </w:pPr>
            <w:r w:rsidRPr="00AA77C7">
              <w:rPr>
                <w:noProof/>
                <w:sz w:val="22"/>
              </w:rPr>
              <w:t>NE</w:t>
            </w:r>
          </w:p>
        </w:tc>
      </w:tr>
      <w:tr w:rsidR="00CB55E2" w:rsidRPr="00AA77C7" w:rsidTr="009536F9">
        <w:tc>
          <w:tcPr>
            <w:tcW w:w="1080" w:type="dxa"/>
            <w:vAlign w:val="center"/>
          </w:tcPr>
          <w:p w:rsidR="00DF167D" w:rsidRPr="00AA77C7" w:rsidRDefault="00DF167D" w:rsidP="009536F9">
            <w:pPr>
              <w:jc w:val="center"/>
              <w:rPr>
                <w:noProof/>
              </w:rPr>
            </w:pPr>
            <w:r w:rsidRPr="00AA77C7">
              <w:t>2</w:t>
            </w:r>
          </w:p>
        </w:tc>
        <w:tc>
          <w:tcPr>
            <w:tcW w:w="3960" w:type="dxa"/>
            <w:vAlign w:val="center"/>
          </w:tcPr>
          <w:p w:rsidR="00DF167D" w:rsidRPr="00AA77C7" w:rsidRDefault="00DF167D" w:rsidP="009536F9">
            <w:pPr>
              <w:spacing w:after="60"/>
              <w:rPr>
                <w:noProof/>
              </w:rPr>
            </w:pPr>
            <w:r w:rsidRPr="00AA77C7">
              <w:t>07 05 02  – MEDIA</w:t>
            </w:r>
          </w:p>
        </w:tc>
        <w:tc>
          <w:tcPr>
            <w:tcW w:w="1080" w:type="dxa"/>
            <w:vAlign w:val="center"/>
          </w:tcPr>
          <w:p w:rsidR="00DF167D" w:rsidRPr="00AA77C7" w:rsidRDefault="00DF167D" w:rsidP="009536F9">
            <w:pPr>
              <w:jc w:val="center"/>
              <w:rPr>
                <w:noProof/>
                <w:sz w:val="22"/>
              </w:rPr>
            </w:pPr>
            <w:r w:rsidRPr="00AA77C7">
              <w:rPr>
                <w:noProof/>
                <w:sz w:val="22"/>
              </w:rPr>
              <w:t>RP</w:t>
            </w:r>
          </w:p>
        </w:tc>
        <w:tc>
          <w:tcPr>
            <w:tcW w:w="956" w:type="dxa"/>
            <w:vAlign w:val="center"/>
          </w:tcPr>
          <w:p w:rsidR="00DF167D" w:rsidRPr="00AA77C7" w:rsidRDefault="00DF167D" w:rsidP="009536F9">
            <w:pPr>
              <w:jc w:val="center"/>
              <w:rPr>
                <w:noProof/>
                <w:sz w:val="22"/>
              </w:rPr>
            </w:pPr>
            <w:r w:rsidRPr="00AA77C7">
              <w:rPr>
                <w:noProof/>
                <w:sz w:val="22"/>
              </w:rPr>
              <w:t>ANO</w:t>
            </w:r>
          </w:p>
        </w:tc>
        <w:tc>
          <w:tcPr>
            <w:tcW w:w="1080" w:type="dxa"/>
            <w:vAlign w:val="center"/>
          </w:tcPr>
          <w:p w:rsidR="00DF167D" w:rsidRPr="00AA77C7" w:rsidRDefault="00DF167D" w:rsidP="009536F9">
            <w:pPr>
              <w:jc w:val="center"/>
              <w:rPr>
                <w:noProof/>
                <w:sz w:val="22"/>
              </w:rPr>
            </w:pPr>
            <w:r w:rsidRPr="00AA77C7">
              <w:rPr>
                <w:noProof/>
                <w:sz w:val="22"/>
              </w:rPr>
              <w:t>ANO</w:t>
            </w:r>
          </w:p>
        </w:tc>
        <w:tc>
          <w:tcPr>
            <w:tcW w:w="956" w:type="dxa"/>
            <w:vAlign w:val="center"/>
          </w:tcPr>
          <w:p w:rsidR="00DF167D" w:rsidRPr="00AA77C7" w:rsidRDefault="00DF167D" w:rsidP="009536F9">
            <w:pPr>
              <w:jc w:val="center"/>
              <w:rPr>
                <w:noProof/>
                <w:sz w:val="22"/>
              </w:rPr>
            </w:pPr>
            <w:r w:rsidRPr="00AA77C7">
              <w:rPr>
                <w:noProof/>
                <w:sz w:val="22"/>
              </w:rPr>
              <w:t>ANO</w:t>
            </w:r>
          </w:p>
        </w:tc>
        <w:tc>
          <w:tcPr>
            <w:tcW w:w="1448" w:type="dxa"/>
            <w:vAlign w:val="center"/>
          </w:tcPr>
          <w:p w:rsidR="00DF167D" w:rsidRPr="00AA77C7" w:rsidRDefault="00DF167D" w:rsidP="009536F9">
            <w:pPr>
              <w:jc w:val="center"/>
              <w:rPr>
                <w:noProof/>
                <w:sz w:val="22"/>
              </w:rPr>
            </w:pPr>
            <w:r w:rsidRPr="00AA77C7">
              <w:rPr>
                <w:noProof/>
                <w:sz w:val="22"/>
              </w:rPr>
              <w:t>NE</w:t>
            </w:r>
          </w:p>
        </w:tc>
      </w:tr>
      <w:tr w:rsidR="00CB55E2" w:rsidRPr="00AA77C7" w:rsidTr="009536F9">
        <w:tc>
          <w:tcPr>
            <w:tcW w:w="1080" w:type="dxa"/>
            <w:vAlign w:val="center"/>
          </w:tcPr>
          <w:p w:rsidR="00DF167D" w:rsidRPr="00AA77C7" w:rsidRDefault="00DF167D" w:rsidP="009536F9">
            <w:pPr>
              <w:jc w:val="center"/>
              <w:rPr>
                <w:noProof/>
              </w:rPr>
            </w:pPr>
            <w:r w:rsidRPr="00AA77C7">
              <w:t>2</w:t>
            </w:r>
          </w:p>
        </w:tc>
        <w:tc>
          <w:tcPr>
            <w:tcW w:w="3960" w:type="dxa"/>
            <w:vAlign w:val="center"/>
          </w:tcPr>
          <w:p w:rsidR="00DF167D" w:rsidRPr="00AA77C7" w:rsidRDefault="00DF167D" w:rsidP="009536F9">
            <w:pPr>
              <w:spacing w:after="60"/>
              <w:jc w:val="left"/>
              <w:rPr>
                <w:noProof/>
              </w:rPr>
            </w:pPr>
            <w:r w:rsidRPr="00AA77C7">
              <w:t>07 05 03 – MEZIDOVĚTVOVÁ SLOŽKA</w:t>
            </w:r>
          </w:p>
        </w:tc>
        <w:tc>
          <w:tcPr>
            <w:tcW w:w="1080" w:type="dxa"/>
            <w:vAlign w:val="center"/>
          </w:tcPr>
          <w:p w:rsidR="00DF167D" w:rsidRPr="00AA77C7" w:rsidRDefault="00DF167D" w:rsidP="009536F9">
            <w:pPr>
              <w:jc w:val="center"/>
              <w:rPr>
                <w:noProof/>
              </w:rPr>
            </w:pPr>
            <w:r w:rsidRPr="00AA77C7">
              <w:rPr>
                <w:noProof/>
                <w:sz w:val="22"/>
              </w:rPr>
              <w:t>RP</w:t>
            </w:r>
          </w:p>
        </w:tc>
        <w:tc>
          <w:tcPr>
            <w:tcW w:w="956" w:type="dxa"/>
            <w:vAlign w:val="center"/>
          </w:tcPr>
          <w:p w:rsidR="00DF167D" w:rsidRPr="00AA77C7" w:rsidRDefault="00DF167D" w:rsidP="009536F9">
            <w:pPr>
              <w:jc w:val="center"/>
              <w:rPr>
                <w:noProof/>
              </w:rPr>
            </w:pPr>
            <w:r w:rsidRPr="00AA77C7">
              <w:rPr>
                <w:noProof/>
                <w:sz w:val="22"/>
              </w:rPr>
              <w:t>ANO</w:t>
            </w:r>
          </w:p>
        </w:tc>
        <w:tc>
          <w:tcPr>
            <w:tcW w:w="1080" w:type="dxa"/>
            <w:vAlign w:val="center"/>
          </w:tcPr>
          <w:p w:rsidR="00DF167D" w:rsidRPr="00AA77C7" w:rsidRDefault="00DF167D" w:rsidP="009536F9">
            <w:pPr>
              <w:jc w:val="center"/>
              <w:rPr>
                <w:noProof/>
              </w:rPr>
            </w:pPr>
            <w:r w:rsidRPr="00AA77C7">
              <w:rPr>
                <w:noProof/>
                <w:sz w:val="22"/>
              </w:rPr>
              <w:t>ANO</w:t>
            </w:r>
          </w:p>
        </w:tc>
        <w:tc>
          <w:tcPr>
            <w:tcW w:w="956" w:type="dxa"/>
            <w:vAlign w:val="center"/>
          </w:tcPr>
          <w:p w:rsidR="00DF167D" w:rsidRPr="00AA77C7" w:rsidRDefault="00DF167D" w:rsidP="009536F9">
            <w:pPr>
              <w:jc w:val="center"/>
              <w:rPr>
                <w:noProof/>
              </w:rPr>
            </w:pPr>
            <w:r w:rsidRPr="00AA77C7">
              <w:rPr>
                <w:noProof/>
                <w:sz w:val="22"/>
              </w:rPr>
              <w:t>ANO</w:t>
            </w:r>
          </w:p>
        </w:tc>
        <w:tc>
          <w:tcPr>
            <w:tcW w:w="1448" w:type="dxa"/>
            <w:vAlign w:val="center"/>
          </w:tcPr>
          <w:p w:rsidR="00DF167D" w:rsidRPr="00AA77C7" w:rsidRDefault="00DF167D" w:rsidP="009536F9">
            <w:pPr>
              <w:jc w:val="center"/>
              <w:rPr>
                <w:noProof/>
              </w:rPr>
            </w:pPr>
            <w:r w:rsidRPr="00AA77C7">
              <w:rPr>
                <w:noProof/>
                <w:sz w:val="22"/>
              </w:rPr>
              <w:t>NE</w:t>
            </w:r>
          </w:p>
        </w:tc>
      </w:tr>
    </w:tbl>
    <w:p w:rsidR="00DF167D" w:rsidRPr="00AA77C7" w:rsidRDefault="00DF167D" w:rsidP="00DF167D">
      <w:pPr>
        <w:pStyle w:val="Nadpis2"/>
        <w:rPr>
          <w:noProof/>
        </w:rPr>
      </w:pPr>
      <w:r w:rsidRPr="00AA77C7">
        <w:t>Orientační rozdělení prostředků v rámci meziodvětvové složky na finanční období 2021–2027</w:t>
      </w:r>
    </w:p>
    <w:p w:rsidR="00DF167D" w:rsidRPr="00AA77C7" w:rsidRDefault="00DF167D" w:rsidP="00DF167D">
      <w:pPr>
        <w:rPr>
          <w:noProof/>
        </w:rPr>
      </w:pPr>
      <w:r w:rsidRPr="00AA77C7">
        <w:t>A) Meziodvětvová nadnárodní spolupráce v oblasti politik, propagace povědomí o programu a podpora přenositelnosti výsledků: 5 milionů EUR</w:t>
      </w:r>
    </w:p>
    <w:p w:rsidR="00DF167D" w:rsidRPr="00AA77C7" w:rsidRDefault="00DF167D" w:rsidP="00DF167D">
      <w:pPr>
        <w:rPr>
          <w:noProof/>
        </w:rPr>
      </w:pPr>
      <w:r w:rsidRPr="00AA77C7">
        <w:t>B) Prosazování inovativních přístupů k tvorbě, dostupnosti, distribuci a propagaci obsahu napříč kulturními a kreativními odvětvími: 52 milionů EUR</w:t>
      </w:r>
    </w:p>
    <w:p w:rsidR="00DF167D" w:rsidRPr="00AA77C7" w:rsidRDefault="00DF167D" w:rsidP="00DF167D">
      <w:pPr>
        <w:rPr>
          <w:noProof/>
        </w:rPr>
      </w:pPr>
      <w:r w:rsidRPr="00AA77C7">
        <w:t>C) Prosazování průřezových činností zahrnujících několik odvětví s cílem přizpůsobovat se strukturálním změnám, s nimiž se mediální odvětví potýká, včetně podpory svobodného, rozmanitého a pluralistického mediálního prostředí, kvalitní žurnalistiky a mediální gramotnosti: 61 milionů EUR</w:t>
      </w:r>
    </w:p>
    <w:p w:rsidR="00DF167D" w:rsidRPr="00AA77C7" w:rsidRDefault="00DF167D" w:rsidP="00DF167D">
      <w:pPr>
        <w:rPr>
          <w:noProof/>
        </w:rPr>
      </w:pPr>
      <w:r w:rsidRPr="00AA77C7">
        <w:t>D) Zřizování a podpora informačních kanceláří programu, které budou poskytovat informace o programu a propagovat jej ve své zemi, a stimulování přeshraniční spolupráce v rámci kulturních a kreativních odvětví: 42 milionů EUR</w:t>
      </w:r>
    </w:p>
    <w:p w:rsidR="00DF167D" w:rsidRPr="00AA77C7" w:rsidRDefault="00DF167D" w:rsidP="00DF167D">
      <w:pPr>
        <w:rPr>
          <w:noProof/>
        </w:rPr>
      </w:pPr>
    </w:p>
    <w:p w:rsidR="00DF167D" w:rsidRPr="00AA77C7" w:rsidRDefault="00DF167D" w:rsidP="00DF167D">
      <w:pPr>
        <w:rPr>
          <w:noProof/>
        </w:rPr>
        <w:sectPr w:rsidR="00DF167D" w:rsidRPr="00AA77C7" w:rsidSect="00DA02CA">
          <w:pgSz w:w="11907" w:h="16840" w:code="1"/>
          <w:pgMar w:top="1134" w:right="1418" w:bottom="1134" w:left="1418" w:header="709" w:footer="709" w:gutter="0"/>
          <w:cols w:space="708"/>
          <w:docGrid w:linePitch="360"/>
        </w:sectPr>
      </w:pPr>
    </w:p>
    <w:p w:rsidR="00DF167D" w:rsidRPr="00AA77C7" w:rsidRDefault="00DF167D" w:rsidP="00DF167D">
      <w:pPr>
        <w:pStyle w:val="Nadpis2"/>
        <w:rPr>
          <w:bCs w:val="0"/>
          <w:noProof/>
          <w:szCs w:val="24"/>
        </w:rPr>
      </w:pPr>
      <w:r w:rsidRPr="00AA77C7">
        <w:lastRenderedPageBreak/>
        <w:t xml:space="preserve">Odhadovaný dopad na výdaje </w:t>
      </w:r>
    </w:p>
    <w:p w:rsidR="00DF167D" w:rsidRPr="00AA77C7" w:rsidRDefault="00DF167D" w:rsidP="00DF167D">
      <w:pPr>
        <w:pStyle w:val="Nadpis3"/>
        <w:rPr>
          <w:noProof/>
          <w:u w:val="single"/>
        </w:rPr>
      </w:pPr>
      <w:r w:rsidRPr="00AA77C7">
        <w:t xml:space="preserve">Odhadovaný souhrnný dopad na výdaje </w:t>
      </w:r>
    </w:p>
    <w:p w:rsidR="00DF167D" w:rsidRPr="00AA77C7" w:rsidRDefault="00DF167D" w:rsidP="00DF167D">
      <w:pPr>
        <w:jc w:val="right"/>
        <w:rPr>
          <w:noProof/>
          <w:sz w:val="20"/>
        </w:rPr>
      </w:pPr>
      <w:r w:rsidRPr="00AA77C7">
        <w:rPr>
          <w:noProof/>
          <w:sz w:val="20"/>
        </w:rPr>
        <w:t>v milionech EUR (zaokrouhleno na tři desetinná místa)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0"/>
        <w:gridCol w:w="824"/>
        <w:gridCol w:w="593"/>
        <w:gridCol w:w="487"/>
        <w:gridCol w:w="222"/>
        <w:gridCol w:w="992"/>
        <w:gridCol w:w="895"/>
        <w:gridCol w:w="868"/>
        <w:gridCol w:w="868"/>
        <w:gridCol w:w="868"/>
        <w:gridCol w:w="868"/>
        <w:gridCol w:w="868"/>
        <w:gridCol w:w="1002"/>
        <w:gridCol w:w="366"/>
        <w:gridCol w:w="830"/>
      </w:tblGrid>
      <w:tr w:rsidR="00CB55E2" w:rsidRPr="00AA77C7" w:rsidTr="009536F9">
        <w:trPr>
          <w:gridAfter w:val="1"/>
          <w:wAfter w:w="830" w:type="dxa"/>
          <w:jc w:val="center"/>
        </w:trPr>
        <w:tc>
          <w:tcPr>
            <w:tcW w:w="4744" w:type="dxa"/>
            <w:gridSpan w:val="2"/>
            <w:shd w:val="thinDiagStripe" w:color="C0C0C0" w:fill="auto"/>
            <w:vAlign w:val="center"/>
          </w:tcPr>
          <w:p w:rsidR="00DF167D" w:rsidRPr="00AA77C7" w:rsidRDefault="00DF167D" w:rsidP="009536F9">
            <w:pPr>
              <w:spacing w:before="60" w:after="60"/>
              <w:jc w:val="center"/>
              <w:rPr>
                <w:b/>
                <w:noProof/>
              </w:rPr>
            </w:pPr>
            <w:r w:rsidRPr="00AA77C7">
              <w:rPr>
                <w:b/>
                <w:noProof/>
                <w:sz w:val="22"/>
              </w:rPr>
              <w:t>Okruh víceletého finančního</w:t>
            </w:r>
            <w:r w:rsidRPr="00AA77C7">
              <w:rPr>
                <w:noProof/>
                <w:sz w:val="22"/>
              </w:rPr>
              <w:br/>
            </w:r>
            <w:r w:rsidRPr="00AA77C7">
              <w:rPr>
                <w:b/>
                <w:noProof/>
                <w:sz w:val="22"/>
              </w:rPr>
              <w:t xml:space="preserve">rámce </w:t>
            </w:r>
          </w:p>
        </w:tc>
        <w:tc>
          <w:tcPr>
            <w:tcW w:w="1080" w:type="dxa"/>
            <w:gridSpan w:val="2"/>
            <w:vAlign w:val="center"/>
          </w:tcPr>
          <w:p w:rsidR="00DF167D" w:rsidRPr="00AA77C7" w:rsidRDefault="00DF167D" w:rsidP="009536F9">
            <w:pPr>
              <w:spacing w:before="60" w:after="60"/>
              <w:jc w:val="center"/>
              <w:rPr>
                <w:noProof/>
              </w:rPr>
            </w:pPr>
            <w:r w:rsidRPr="00AA77C7">
              <w:rPr>
                <w:b/>
                <w:noProof/>
                <w:sz w:val="22"/>
              </w:rPr>
              <w:t>2</w:t>
            </w:r>
          </w:p>
        </w:tc>
        <w:tc>
          <w:tcPr>
            <w:tcW w:w="7817" w:type="dxa"/>
            <w:gridSpan w:val="10"/>
            <w:vAlign w:val="center"/>
          </w:tcPr>
          <w:p w:rsidR="00DF167D" w:rsidRPr="00AA77C7" w:rsidRDefault="00DF167D" w:rsidP="009536F9">
            <w:pPr>
              <w:spacing w:before="60" w:after="60"/>
              <w:rPr>
                <w:noProof/>
              </w:rPr>
            </w:pPr>
            <w:r w:rsidRPr="00AA77C7">
              <w:t>Soudržnost a hodnoty</w:t>
            </w:r>
          </w:p>
        </w:tc>
      </w:tr>
      <w:tr w:rsidR="00CB55E2" w:rsidRPr="00AA77C7" w:rsidTr="009536F9">
        <w:trPr>
          <w:jc w:val="center"/>
        </w:trPr>
        <w:tc>
          <w:tcPr>
            <w:tcW w:w="6046" w:type="dxa"/>
            <w:gridSpan w:val="5"/>
            <w:tcBorders>
              <w:top w:val="nil"/>
              <w:left w:val="nil"/>
              <w:bottom w:val="nil"/>
              <w:right w:val="single" w:sz="4" w:space="0" w:color="auto"/>
            </w:tcBorders>
            <w:vAlign w:val="center"/>
          </w:tcPr>
          <w:p w:rsidR="00DF167D" w:rsidRPr="00AA77C7" w:rsidRDefault="00DF167D" w:rsidP="009536F9">
            <w:pPr>
              <w:jc w:val="center"/>
              <w:rPr>
                <w:b/>
                <w:noProof/>
                <w:sz w:val="20"/>
              </w:rPr>
            </w:pPr>
          </w:p>
        </w:tc>
        <w:tc>
          <w:tcPr>
            <w:tcW w:w="992" w:type="dxa"/>
            <w:tcBorders>
              <w:left w:val="single" w:sz="4" w:space="0" w:color="auto"/>
            </w:tcBorders>
            <w:vAlign w:val="center"/>
          </w:tcPr>
          <w:p w:rsidR="00DF167D" w:rsidRPr="00AA77C7" w:rsidRDefault="00DF167D" w:rsidP="009536F9">
            <w:pPr>
              <w:jc w:val="center"/>
              <w:rPr>
                <w:b/>
                <w:noProof/>
                <w:sz w:val="20"/>
              </w:rPr>
            </w:pPr>
            <w:r w:rsidRPr="00AA77C7">
              <w:rPr>
                <w:b/>
                <w:noProof/>
                <w:sz w:val="20"/>
              </w:rPr>
              <w:t>2021</w:t>
            </w:r>
          </w:p>
        </w:tc>
        <w:tc>
          <w:tcPr>
            <w:tcW w:w="895" w:type="dxa"/>
            <w:vAlign w:val="center"/>
          </w:tcPr>
          <w:p w:rsidR="00DF167D" w:rsidRPr="00AA77C7" w:rsidRDefault="00DF167D" w:rsidP="009536F9">
            <w:pPr>
              <w:jc w:val="center"/>
              <w:rPr>
                <w:b/>
                <w:noProof/>
                <w:sz w:val="20"/>
              </w:rPr>
            </w:pPr>
            <w:r w:rsidRPr="00AA77C7">
              <w:rPr>
                <w:b/>
                <w:noProof/>
                <w:sz w:val="20"/>
              </w:rPr>
              <w:t>2022</w:t>
            </w:r>
          </w:p>
        </w:tc>
        <w:tc>
          <w:tcPr>
            <w:tcW w:w="868" w:type="dxa"/>
            <w:vAlign w:val="center"/>
          </w:tcPr>
          <w:p w:rsidR="00DF167D" w:rsidRPr="00AA77C7" w:rsidRDefault="00DF167D" w:rsidP="009536F9">
            <w:pPr>
              <w:jc w:val="center"/>
              <w:rPr>
                <w:b/>
                <w:noProof/>
                <w:sz w:val="20"/>
              </w:rPr>
            </w:pPr>
            <w:r w:rsidRPr="00AA77C7">
              <w:rPr>
                <w:b/>
                <w:noProof/>
                <w:sz w:val="20"/>
              </w:rPr>
              <w:t>2023</w:t>
            </w:r>
          </w:p>
        </w:tc>
        <w:tc>
          <w:tcPr>
            <w:tcW w:w="868" w:type="dxa"/>
            <w:vAlign w:val="center"/>
          </w:tcPr>
          <w:p w:rsidR="00DF167D" w:rsidRPr="00AA77C7" w:rsidRDefault="00DF167D" w:rsidP="009536F9">
            <w:pPr>
              <w:jc w:val="center"/>
              <w:rPr>
                <w:b/>
                <w:noProof/>
                <w:sz w:val="20"/>
              </w:rPr>
            </w:pPr>
            <w:r w:rsidRPr="00AA77C7">
              <w:rPr>
                <w:b/>
                <w:noProof/>
                <w:sz w:val="20"/>
              </w:rPr>
              <w:t>2024</w:t>
            </w:r>
          </w:p>
        </w:tc>
        <w:tc>
          <w:tcPr>
            <w:tcW w:w="868" w:type="dxa"/>
            <w:vAlign w:val="center"/>
          </w:tcPr>
          <w:p w:rsidR="00DF167D" w:rsidRPr="00AA77C7" w:rsidRDefault="00DF167D" w:rsidP="009536F9">
            <w:pPr>
              <w:jc w:val="center"/>
              <w:rPr>
                <w:b/>
                <w:noProof/>
                <w:sz w:val="18"/>
              </w:rPr>
            </w:pPr>
            <w:r w:rsidRPr="00AA77C7">
              <w:rPr>
                <w:b/>
                <w:noProof/>
                <w:sz w:val="18"/>
              </w:rPr>
              <w:t>2025</w:t>
            </w:r>
          </w:p>
        </w:tc>
        <w:tc>
          <w:tcPr>
            <w:tcW w:w="868" w:type="dxa"/>
            <w:vAlign w:val="center"/>
          </w:tcPr>
          <w:p w:rsidR="00DF167D" w:rsidRPr="00AA77C7" w:rsidRDefault="00DF167D" w:rsidP="009536F9">
            <w:pPr>
              <w:jc w:val="center"/>
              <w:rPr>
                <w:b/>
                <w:noProof/>
                <w:sz w:val="18"/>
              </w:rPr>
            </w:pPr>
            <w:r w:rsidRPr="00AA77C7">
              <w:rPr>
                <w:b/>
                <w:noProof/>
                <w:sz w:val="18"/>
              </w:rPr>
              <w:t>2026</w:t>
            </w:r>
          </w:p>
        </w:tc>
        <w:tc>
          <w:tcPr>
            <w:tcW w:w="868" w:type="dxa"/>
            <w:vAlign w:val="center"/>
          </w:tcPr>
          <w:p w:rsidR="00DF167D" w:rsidRPr="00AA77C7" w:rsidRDefault="00DF167D" w:rsidP="009536F9">
            <w:pPr>
              <w:jc w:val="center"/>
              <w:rPr>
                <w:b/>
                <w:noProof/>
                <w:sz w:val="18"/>
              </w:rPr>
            </w:pPr>
            <w:r w:rsidRPr="00AA77C7">
              <w:rPr>
                <w:b/>
                <w:noProof/>
                <w:sz w:val="18"/>
              </w:rPr>
              <w:t>2027</w:t>
            </w:r>
          </w:p>
        </w:tc>
        <w:tc>
          <w:tcPr>
            <w:tcW w:w="1002" w:type="dxa"/>
          </w:tcPr>
          <w:p w:rsidR="00DF167D" w:rsidRPr="00AA77C7" w:rsidRDefault="00DF167D" w:rsidP="009536F9">
            <w:pPr>
              <w:jc w:val="center"/>
              <w:rPr>
                <w:b/>
                <w:i/>
                <w:noProof/>
                <w:sz w:val="20"/>
              </w:rPr>
            </w:pPr>
            <w:r w:rsidRPr="00AA77C7">
              <w:rPr>
                <w:b/>
                <w:i/>
                <w:noProof/>
                <w:sz w:val="20"/>
              </w:rPr>
              <w:t>Po roce 2027</w:t>
            </w:r>
          </w:p>
        </w:tc>
        <w:tc>
          <w:tcPr>
            <w:tcW w:w="1196" w:type="dxa"/>
            <w:gridSpan w:val="2"/>
            <w:vAlign w:val="center"/>
          </w:tcPr>
          <w:p w:rsidR="00DF167D" w:rsidRPr="00AA77C7" w:rsidRDefault="00DF167D" w:rsidP="009536F9">
            <w:pPr>
              <w:jc w:val="center"/>
              <w:rPr>
                <w:b/>
                <w:noProof/>
                <w:sz w:val="20"/>
              </w:rPr>
            </w:pPr>
            <w:r w:rsidRPr="00AA77C7">
              <w:rPr>
                <w:b/>
                <w:noProof/>
                <w:sz w:val="20"/>
              </w:rPr>
              <w:t>CELKEM</w:t>
            </w:r>
          </w:p>
        </w:tc>
      </w:tr>
      <w:tr w:rsidR="00CB55E2" w:rsidRPr="00AA77C7" w:rsidTr="009536F9">
        <w:trPr>
          <w:trHeight w:val="433"/>
          <w:jc w:val="center"/>
        </w:trPr>
        <w:tc>
          <w:tcPr>
            <w:tcW w:w="3920" w:type="dxa"/>
            <w:vMerge w:val="restart"/>
            <w:vAlign w:val="center"/>
          </w:tcPr>
          <w:p w:rsidR="00DF167D" w:rsidRPr="00AA77C7" w:rsidRDefault="00DF167D" w:rsidP="009536F9">
            <w:pPr>
              <w:rPr>
                <w:b/>
                <w:noProof/>
              </w:rPr>
            </w:pPr>
            <w:r w:rsidRPr="00AA77C7">
              <w:rPr>
                <w:b/>
                <w:noProof/>
                <w:sz w:val="20"/>
              </w:rPr>
              <w:t>Operační prostředky</w:t>
            </w:r>
            <w:r w:rsidRPr="00AA77C7">
              <w:rPr>
                <w:rStyle w:val="Znakapoznpodarou"/>
                <w:b/>
                <w:noProof/>
                <w:sz w:val="20"/>
              </w:rPr>
              <w:footnoteReference w:id="37"/>
            </w:r>
          </w:p>
        </w:tc>
        <w:tc>
          <w:tcPr>
            <w:tcW w:w="1417" w:type="dxa"/>
            <w:gridSpan w:val="2"/>
            <w:vAlign w:val="center"/>
          </w:tcPr>
          <w:p w:rsidR="00DF167D" w:rsidRPr="00AA77C7" w:rsidRDefault="00DF167D" w:rsidP="009536F9">
            <w:pPr>
              <w:spacing w:before="20" w:after="20"/>
              <w:jc w:val="left"/>
              <w:rPr>
                <w:noProof/>
                <w:sz w:val="18"/>
              </w:rPr>
            </w:pPr>
            <w:r w:rsidRPr="00AA77C7">
              <w:rPr>
                <w:noProof/>
                <w:sz w:val="18"/>
              </w:rPr>
              <w:t>Závazky</w:t>
            </w:r>
          </w:p>
        </w:tc>
        <w:tc>
          <w:tcPr>
            <w:tcW w:w="709" w:type="dxa"/>
            <w:gridSpan w:val="2"/>
            <w:vAlign w:val="center"/>
          </w:tcPr>
          <w:p w:rsidR="00DF167D" w:rsidRPr="00AA77C7" w:rsidRDefault="00DF167D" w:rsidP="009536F9">
            <w:pPr>
              <w:spacing w:before="20" w:after="20"/>
              <w:jc w:val="center"/>
              <w:rPr>
                <w:noProof/>
                <w:sz w:val="14"/>
              </w:rPr>
            </w:pPr>
            <w:r w:rsidRPr="00AA77C7">
              <w:rPr>
                <w:noProof/>
                <w:sz w:val="14"/>
              </w:rPr>
              <w:t>(1)</w:t>
            </w:r>
          </w:p>
        </w:tc>
        <w:tc>
          <w:tcPr>
            <w:tcW w:w="992" w:type="dxa"/>
            <w:vAlign w:val="center"/>
          </w:tcPr>
          <w:p w:rsidR="00DF167D" w:rsidRPr="00AA77C7" w:rsidRDefault="00DF167D" w:rsidP="009536F9">
            <w:pPr>
              <w:spacing w:before="20" w:after="20"/>
              <w:jc w:val="right"/>
              <w:rPr>
                <w:noProof/>
                <w:sz w:val="20"/>
              </w:rPr>
            </w:pPr>
          </w:p>
        </w:tc>
        <w:tc>
          <w:tcPr>
            <w:tcW w:w="895" w:type="dxa"/>
            <w:vAlign w:val="center"/>
          </w:tcPr>
          <w:p w:rsidR="00DF167D" w:rsidRPr="00AA77C7" w:rsidRDefault="00DF167D" w:rsidP="009536F9">
            <w:pPr>
              <w:spacing w:before="20" w:after="20"/>
              <w:jc w:val="right"/>
              <w:rPr>
                <w:noProof/>
                <w:sz w:val="20"/>
              </w:rPr>
            </w:pPr>
          </w:p>
        </w:tc>
        <w:tc>
          <w:tcPr>
            <w:tcW w:w="868" w:type="dxa"/>
            <w:vAlign w:val="center"/>
          </w:tcPr>
          <w:p w:rsidR="00DF167D" w:rsidRPr="00AA77C7" w:rsidRDefault="00DF167D" w:rsidP="009536F9">
            <w:pPr>
              <w:spacing w:before="20" w:after="20"/>
              <w:jc w:val="right"/>
              <w:rPr>
                <w:noProof/>
                <w:sz w:val="20"/>
              </w:rPr>
            </w:pPr>
          </w:p>
        </w:tc>
        <w:tc>
          <w:tcPr>
            <w:tcW w:w="868" w:type="dxa"/>
            <w:vAlign w:val="center"/>
          </w:tcPr>
          <w:p w:rsidR="00DF167D" w:rsidRPr="00AA77C7" w:rsidRDefault="00DF167D" w:rsidP="009536F9">
            <w:pPr>
              <w:spacing w:before="20" w:after="20"/>
              <w:jc w:val="right"/>
              <w:rPr>
                <w:noProof/>
                <w:sz w:val="20"/>
              </w:rPr>
            </w:pPr>
          </w:p>
        </w:tc>
        <w:tc>
          <w:tcPr>
            <w:tcW w:w="868" w:type="dxa"/>
            <w:vAlign w:val="center"/>
          </w:tcPr>
          <w:p w:rsidR="00DF167D" w:rsidRPr="00AA77C7" w:rsidRDefault="00DF167D" w:rsidP="009536F9">
            <w:pPr>
              <w:spacing w:before="20" w:after="20"/>
              <w:jc w:val="right"/>
              <w:rPr>
                <w:noProof/>
                <w:sz w:val="20"/>
              </w:rPr>
            </w:pPr>
          </w:p>
        </w:tc>
        <w:tc>
          <w:tcPr>
            <w:tcW w:w="868" w:type="dxa"/>
            <w:vAlign w:val="center"/>
          </w:tcPr>
          <w:p w:rsidR="00DF167D" w:rsidRPr="00AA77C7" w:rsidRDefault="00DF167D" w:rsidP="009536F9">
            <w:pPr>
              <w:spacing w:before="20" w:after="20"/>
              <w:jc w:val="right"/>
              <w:rPr>
                <w:noProof/>
                <w:sz w:val="20"/>
              </w:rPr>
            </w:pPr>
          </w:p>
        </w:tc>
        <w:tc>
          <w:tcPr>
            <w:tcW w:w="868" w:type="dxa"/>
            <w:vAlign w:val="center"/>
          </w:tcPr>
          <w:p w:rsidR="00DF167D" w:rsidRPr="00AA77C7" w:rsidRDefault="00DF167D" w:rsidP="009536F9">
            <w:pPr>
              <w:spacing w:before="20" w:after="20"/>
              <w:jc w:val="right"/>
              <w:rPr>
                <w:b/>
                <w:noProof/>
                <w:sz w:val="20"/>
              </w:rPr>
            </w:pPr>
          </w:p>
        </w:tc>
        <w:tc>
          <w:tcPr>
            <w:tcW w:w="1002" w:type="dxa"/>
            <w:shd w:val="clear" w:color="auto" w:fill="A6A6A6" w:themeFill="background1" w:themeFillShade="A6"/>
          </w:tcPr>
          <w:p w:rsidR="00DF167D" w:rsidRPr="00AA77C7" w:rsidRDefault="00DF167D" w:rsidP="009536F9">
            <w:pPr>
              <w:spacing w:before="20" w:after="20"/>
              <w:jc w:val="right"/>
              <w:rPr>
                <w:b/>
                <w:noProof/>
                <w:sz w:val="20"/>
              </w:rPr>
            </w:pPr>
          </w:p>
        </w:tc>
        <w:tc>
          <w:tcPr>
            <w:tcW w:w="1196" w:type="dxa"/>
            <w:gridSpan w:val="2"/>
            <w:vAlign w:val="center"/>
          </w:tcPr>
          <w:p w:rsidR="00DF167D" w:rsidRPr="00AA77C7" w:rsidRDefault="00DF167D" w:rsidP="009536F9">
            <w:pPr>
              <w:spacing w:before="20" w:after="20"/>
              <w:jc w:val="right"/>
              <w:rPr>
                <w:b/>
                <w:noProof/>
                <w:sz w:val="20"/>
              </w:rPr>
            </w:pPr>
          </w:p>
        </w:tc>
      </w:tr>
      <w:tr w:rsidR="00CB55E2" w:rsidRPr="00AA77C7" w:rsidTr="009536F9">
        <w:trPr>
          <w:trHeight w:val="411"/>
          <w:jc w:val="center"/>
        </w:trPr>
        <w:tc>
          <w:tcPr>
            <w:tcW w:w="3920" w:type="dxa"/>
            <w:vMerge/>
          </w:tcPr>
          <w:p w:rsidR="00DF167D" w:rsidRPr="00AA77C7" w:rsidRDefault="00DF167D" w:rsidP="009536F9">
            <w:pPr>
              <w:jc w:val="center"/>
              <w:rPr>
                <w:noProof/>
                <w:sz w:val="20"/>
              </w:rPr>
            </w:pPr>
          </w:p>
        </w:tc>
        <w:tc>
          <w:tcPr>
            <w:tcW w:w="1417" w:type="dxa"/>
            <w:gridSpan w:val="2"/>
            <w:vAlign w:val="center"/>
          </w:tcPr>
          <w:p w:rsidR="00DF167D" w:rsidRPr="00AA77C7" w:rsidRDefault="00DF167D" w:rsidP="009536F9">
            <w:pPr>
              <w:spacing w:before="20" w:after="20"/>
              <w:jc w:val="left"/>
              <w:rPr>
                <w:noProof/>
                <w:sz w:val="18"/>
              </w:rPr>
            </w:pPr>
            <w:r w:rsidRPr="00AA77C7">
              <w:rPr>
                <w:noProof/>
                <w:sz w:val="18"/>
              </w:rPr>
              <w:t>Platby</w:t>
            </w:r>
          </w:p>
        </w:tc>
        <w:tc>
          <w:tcPr>
            <w:tcW w:w="709" w:type="dxa"/>
            <w:gridSpan w:val="2"/>
            <w:vAlign w:val="center"/>
          </w:tcPr>
          <w:p w:rsidR="00DF167D" w:rsidRPr="00AA77C7" w:rsidRDefault="00DF167D" w:rsidP="009536F9">
            <w:pPr>
              <w:spacing w:before="20" w:after="20"/>
              <w:jc w:val="center"/>
              <w:rPr>
                <w:noProof/>
                <w:sz w:val="14"/>
              </w:rPr>
            </w:pPr>
            <w:r w:rsidRPr="00AA77C7">
              <w:rPr>
                <w:noProof/>
                <w:sz w:val="14"/>
              </w:rPr>
              <w:t>(2)</w:t>
            </w:r>
          </w:p>
        </w:tc>
        <w:tc>
          <w:tcPr>
            <w:tcW w:w="992" w:type="dxa"/>
            <w:vAlign w:val="center"/>
          </w:tcPr>
          <w:p w:rsidR="00DF167D" w:rsidRPr="00AA77C7" w:rsidRDefault="00DF167D" w:rsidP="009536F9">
            <w:pPr>
              <w:spacing w:before="20" w:after="20"/>
              <w:jc w:val="right"/>
              <w:rPr>
                <w:noProof/>
                <w:sz w:val="20"/>
              </w:rPr>
            </w:pPr>
          </w:p>
        </w:tc>
        <w:tc>
          <w:tcPr>
            <w:tcW w:w="895" w:type="dxa"/>
            <w:vAlign w:val="center"/>
          </w:tcPr>
          <w:p w:rsidR="00DF167D" w:rsidRPr="00AA77C7" w:rsidRDefault="00DF167D" w:rsidP="009536F9">
            <w:pPr>
              <w:spacing w:before="20" w:after="20"/>
              <w:jc w:val="right"/>
              <w:rPr>
                <w:noProof/>
                <w:sz w:val="20"/>
              </w:rPr>
            </w:pPr>
          </w:p>
        </w:tc>
        <w:tc>
          <w:tcPr>
            <w:tcW w:w="868" w:type="dxa"/>
            <w:vAlign w:val="center"/>
          </w:tcPr>
          <w:p w:rsidR="00DF167D" w:rsidRPr="00AA77C7" w:rsidRDefault="00DF167D" w:rsidP="009536F9">
            <w:pPr>
              <w:spacing w:before="20" w:after="20"/>
              <w:jc w:val="right"/>
              <w:rPr>
                <w:noProof/>
                <w:sz w:val="20"/>
              </w:rPr>
            </w:pPr>
          </w:p>
        </w:tc>
        <w:tc>
          <w:tcPr>
            <w:tcW w:w="868" w:type="dxa"/>
            <w:vAlign w:val="center"/>
          </w:tcPr>
          <w:p w:rsidR="00DF167D" w:rsidRPr="00AA77C7" w:rsidRDefault="00DF167D" w:rsidP="009536F9">
            <w:pPr>
              <w:spacing w:before="20" w:after="20"/>
              <w:jc w:val="right"/>
              <w:rPr>
                <w:noProof/>
                <w:sz w:val="20"/>
              </w:rPr>
            </w:pPr>
          </w:p>
        </w:tc>
        <w:tc>
          <w:tcPr>
            <w:tcW w:w="868" w:type="dxa"/>
            <w:vAlign w:val="center"/>
          </w:tcPr>
          <w:p w:rsidR="00DF167D" w:rsidRPr="00AA77C7" w:rsidRDefault="00DF167D" w:rsidP="009536F9">
            <w:pPr>
              <w:spacing w:before="20" w:after="20"/>
              <w:jc w:val="right"/>
              <w:rPr>
                <w:noProof/>
                <w:sz w:val="20"/>
              </w:rPr>
            </w:pPr>
          </w:p>
        </w:tc>
        <w:tc>
          <w:tcPr>
            <w:tcW w:w="868" w:type="dxa"/>
            <w:vAlign w:val="center"/>
          </w:tcPr>
          <w:p w:rsidR="00DF167D" w:rsidRPr="00AA77C7" w:rsidRDefault="00DF167D" w:rsidP="009536F9">
            <w:pPr>
              <w:spacing w:before="20" w:after="20"/>
              <w:jc w:val="right"/>
              <w:rPr>
                <w:noProof/>
                <w:sz w:val="20"/>
              </w:rPr>
            </w:pPr>
          </w:p>
        </w:tc>
        <w:tc>
          <w:tcPr>
            <w:tcW w:w="868" w:type="dxa"/>
            <w:vAlign w:val="center"/>
          </w:tcPr>
          <w:p w:rsidR="00DF167D" w:rsidRPr="00AA77C7" w:rsidRDefault="00DF167D" w:rsidP="009536F9">
            <w:pPr>
              <w:spacing w:before="20" w:after="20"/>
              <w:jc w:val="right"/>
              <w:rPr>
                <w:b/>
                <w:noProof/>
                <w:sz w:val="20"/>
              </w:rPr>
            </w:pPr>
          </w:p>
        </w:tc>
        <w:tc>
          <w:tcPr>
            <w:tcW w:w="1002" w:type="dxa"/>
          </w:tcPr>
          <w:p w:rsidR="00DF167D" w:rsidRPr="00AA77C7" w:rsidRDefault="00DF167D" w:rsidP="009536F9">
            <w:pPr>
              <w:spacing w:before="20" w:after="20"/>
              <w:jc w:val="right"/>
              <w:rPr>
                <w:b/>
                <w:noProof/>
                <w:sz w:val="20"/>
              </w:rPr>
            </w:pPr>
          </w:p>
        </w:tc>
        <w:tc>
          <w:tcPr>
            <w:tcW w:w="1196" w:type="dxa"/>
            <w:gridSpan w:val="2"/>
            <w:vAlign w:val="center"/>
          </w:tcPr>
          <w:p w:rsidR="00DF167D" w:rsidRPr="00AA77C7" w:rsidRDefault="00DF167D" w:rsidP="009536F9">
            <w:pPr>
              <w:spacing w:before="20" w:after="20"/>
              <w:jc w:val="right"/>
              <w:rPr>
                <w:b/>
                <w:noProof/>
                <w:sz w:val="20"/>
              </w:rPr>
            </w:pPr>
          </w:p>
        </w:tc>
      </w:tr>
      <w:tr w:rsidR="00CB55E2" w:rsidRPr="00AA77C7" w:rsidTr="009536F9">
        <w:trPr>
          <w:trHeight w:val="319"/>
          <w:jc w:val="center"/>
        </w:trPr>
        <w:tc>
          <w:tcPr>
            <w:tcW w:w="3920" w:type="dxa"/>
            <w:vMerge w:val="restart"/>
            <w:vAlign w:val="center"/>
          </w:tcPr>
          <w:p w:rsidR="00DF167D" w:rsidRPr="00AA77C7" w:rsidRDefault="00DF167D" w:rsidP="009536F9">
            <w:pPr>
              <w:spacing w:before="20" w:after="20"/>
              <w:jc w:val="left"/>
              <w:rPr>
                <w:noProof/>
                <w:sz w:val="20"/>
              </w:rPr>
            </w:pPr>
            <w:r w:rsidRPr="00AA77C7">
              <w:rPr>
                <w:noProof/>
                <w:sz w:val="20"/>
              </w:rPr>
              <w:t>07 05 01 – KULTURA</w:t>
            </w:r>
          </w:p>
        </w:tc>
        <w:tc>
          <w:tcPr>
            <w:tcW w:w="1417" w:type="dxa"/>
            <w:gridSpan w:val="2"/>
            <w:vAlign w:val="center"/>
          </w:tcPr>
          <w:p w:rsidR="00DF167D" w:rsidRPr="00AA77C7" w:rsidRDefault="00DF167D" w:rsidP="009536F9">
            <w:pPr>
              <w:spacing w:before="40" w:after="40"/>
              <w:jc w:val="left"/>
              <w:rPr>
                <w:noProof/>
                <w:sz w:val="18"/>
              </w:rPr>
            </w:pPr>
            <w:r w:rsidRPr="00AA77C7">
              <w:rPr>
                <w:noProof/>
                <w:sz w:val="18"/>
              </w:rPr>
              <w:t>Závazky</w:t>
            </w:r>
          </w:p>
        </w:tc>
        <w:tc>
          <w:tcPr>
            <w:tcW w:w="709" w:type="dxa"/>
            <w:gridSpan w:val="2"/>
            <w:vAlign w:val="center"/>
          </w:tcPr>
          <w:p w:rsidR="00DF167D" w:rsidRPr="00AA77C7" w:rsidRDefault="00DF167D" w:rsidP="009536F9">
            <w:pPr>
              <w:spacing w:before="40" w:after="40"/>
              <w:jc w:val="center"/>
              <w:rPr>
                <w:noProof/>
                <w:sz w:val="14"/>
              </w:rPr>
            </w:pPr>
            <w:r w:rsidRPr="00AA77C7">
              <w:rPr>
                <w:noProof/>
                <w:sz w:val="14"/>
              </w:rPr>
              <w:t>(1)</w:t>
            </w:r>
          </w:p>
        </w:tc>
        <w:tc>
          <w:tcPr>
            <w:tcW w:w="992" w:type="dxa"/>
            <w:vAlign w:val="center"/>
          </w:tcPr>
          <w:p w:rsidR="00DF167D" w:rsidRPr="00AA77C7" w:rsidRDefault="00DF167D" w:rsidP="005D43D3">
            <w:pPr>
              <w:spacing w:before="20" w:after="20"/>
              <w:jc w:val="right"/>
              <w:rPr>
                <w:noProof/>
                <w:sz w:val="20"/>
                <w:szCs w:val="20"/>
              </w:rPr>
            </w:pPr>
            <w:r w:rsidRPr="00AA77C7">
              <w:rPr>
                <w:noProof/>
                <w:sz w:val="20"/>
              </w:rPr>
              <w:t>75,862</w:t>
            </w:r>
          </w:p>
        </w:tc>
        <w:tc>
          <w:tcPr>
            <w:tcW w:w="895" w:type="dxa"/>
            <w:vAlign w:val="center"/>
          </w:tcPr>
          <w:p w:rsidR="00DF167D" w:rsidRPr="00AA77C7" w:rsidRDefault="00DF167D" w:rsidP="005D43D3">
            <w:pPr>
              <w:spacing w:before="20" w:after="20"/>
              <w:jc w:val="right"/>
              <w:rPr>
                <w:noProof/>
                <w:sz w:val="20"/>
                <w:szCs w:val="20"/>
              </w:rPr>
            </w:pPr>
            <w:r w:rsidRPr="00AA77C7">
              <w:rPr>
                <w:noProof/>
                <w:sz w:val="20"/>
              </w:rPr>
              <w:t>77,382</w:t>
            </w:r>
          </w:p>
        </w:tc>
        <w:tc>
          <w:tcPr>
            <w:tcW w:w="868" w:type="dxa"/>
            <w:vAlign w:val="center"/>
          </w:tcPr>
          <w:p w:rsidR="00DF167D" w:rsidRPr="00AA77C7" w:rsidRDefault="00DF167D" w:rsidP="005D43D3">
            <w:pPr>
              <w:spacing w:before="20" w:after="20"/>
              <w:jc w:val="right"/>
              <w:rPr>
                <w:noProof/>
                <w:sz w:val="20"/>
                <w:szCs w:val="20"/>
              </w:rPr>
            </w:pPr>
            <w:r w:rsidRPr="00AA77C7">
              <w:rPr>
                <w:noProof/>
                <w:sz w:val="20"/>
              </w:rPr>
              <w:t>78,929</w:t>
            </w:r>
          </w:p>
        </w:tc>
        <w:tc>
          <w:tcPr>
            <w:tcW w:w="868" w:type="dxa"/>
            <w:vAlign w:val="center"/>
          </w:tcPr>
          <w:p w:rsidR="00DF167D" w:rsidRPr="00AA77C7" w:rsidRDefault="00DF167D" w:rsidP="005D43D3">
            <w:pPr>
              <w:spacing w:before="20" w:after="20"/>
              <w:jc w:val="right"/>
              <w:rPr>
                <w:noProof/>
                <w:sz w:val="20"/>
                <w:szCs w:val="20"/>
              </w:rPr>
            </w:pPr>
            <w:r w:rsidRPr="00AA77C7">
              <w:rPr>
                <w:noProof/>
                <w:sz w:val="20"/>
              </w:rPr>
              <w:t>80,505</w:t>
            </w:r>
          </w:p>
        </w:tc>
        <w:tc>
          <w:tcPr>
            <w:tcW w:w="868" w:type="dxa"/>
            <w:vAlign w:val="center"/>
          </w:tcPr>
          <w:p w:rsidR="00DF167D" w:rsidRPr="00AA77C7" w:rsidRDefault="00DF167D" w:rsidP="005D43D3">
            <w:pPr>
              <w:spacing w:before="20" w:after="20"/>
              <w:jc w:val="right"/>
              <w:rPr>
                <w:noProof/>
                <w:sz w:val="20"/>
                <w:szCs w:val="20"/>
              </w:rPr>
            </w:pPr>
            <w:r w:rsidRPr="00AA77C7">
              <w:rPr>
                <w:noProof/>
                <w:sz w:val="20"/>
              </w:rPr>
              <w:t>82,120</w:t>
            </w:r>
          </w:p>
        </w:tc>
        <w:tc>
          <w:tcPr>
            <w:tcW w:w="868" w:type="dxa"/>
            <w:vAlign w:val="center"/>
          </w:tcPr>
          <w:p w:rsidR="00DF167D" w:rsidRPr="00AA77C7" w:rsidRDefault="00DF167D" w:rsidP="005D43D3">
            <w:pPr>
              <w:spacing w:before="20" w:after="20"/>
              <w:jc w:val="right"/>
              <w:rPr>
                <w:noProof/>
                <w:sz w:val="20"/>
                <w:szCs w:val="20"/>
              </w:rPr>
            </w:pPr>
            <w:r w:rsidRPr="00AA77C7">
              <w:rPr>
                <w:noProof/>
                <w:sz w:val="20"/>
              </w:rPr>
              <w:t>83,756</w:t>
            </w:r>
          </w:p>
        </w:tc>
        <w:tc>
          <w:tcPr>
            <w:tcW w:w="868" w:type="dxa"/>
            <w:vAlign w:val="center"/>
          </w:tcPr>
          <w:p w:rsidR="00DF167D" w:rsidRPr="00AA77C7" w:rsidRDefault="00DF167D" w:rsidP="005D43D3">
            <w:pPr>
              <w:spacing w:before="20" w:after="20"/>
              <w:jc w:val="right"/>
              <w:rPr>
                <w:noProof/>
                <w:sz w:val="20"/>
                <w:szCs w:val="20"/>
              </w:rPr>
            </w:pPr>
            <w:r w:rsidRPr="00AA77C7">
              <w:rPr>
                <w:noProof/>
                <w:sz w:val="20"/>
              </w:rPr>
              <w:t>84,947</w:t>
            </w:r>
          </w:p>
        </w:tc>
        <w:tc>
          <w:tcPr>
            <w:tcW w:w="1002" w:type="dxa"/>
            <w:shd w:val="clear" w:color="auto" w:fill="A6A6A6" w:themeFill="background1" w:themeFillShade="A6"/>
          </w:tcPr>
          <w:p w:rsidR="00DF167D" w:rsidRPr="00AA77C7" w:rsidRDefault="00DF167D" w:rsidP="009536F9">
            <w:pPr>
              <w:spacing w:before="40" w:after="40"/>
              <w:jc w:val="right"/>
              <w:rPr>
                <w:b/>
                <w:noProof/>
                <w:sz w:val="20"/>
                <w:szCs w:val="20"/>
              </w:rPr>
            </w:pPr>
          </w:p>
        </w:tc>
        <w:tc>
          <w:tcPr>
            <w:tcW w:w="1196" w:type="dxa"/>
            <w:gridSpan w:val="2"/>
            <w:vAlign w:val="center"/>
          </w:tcPr>
          <w:p w:rsidR="00DF167D" w:rsidRPr="00AA77C7" w:rsidRDefault="00DF167D" w:rsidP="009536F9">
            <w:pPr>
              <w:spacing w:before="40" w:after="40"/>
              <w:jc w:val="right"/>
              <w:rPr>
                <w:noProof/>
                <w:sz w:val="20"/>
                <w:szCs w:val="20"/>
              </w:rPr>
            </w:pPr>
            <w:r w:rsidRPr="00AA77C7">
              <w:rPr>
                <w:b/>
                <w:noProof/>
                <w:sz w:val="20"/>
              </w:rPr>
              <w:t>563,500</w:t>
            </w:r>
          </w:p>
        </w:tc>
      </w:tr>
      <w:tr w:rsidR="00CB55E2" w:rsidRPr="00AA77C7" w:rsidTr="009536F9">
        <w:trPr>
          <w:trHeight w:val="319"/>
          <w:jc w:val="center"/>
        </w:trPr>
        <w:tc>
          <w:tcPr>
            <w:tcW w:w="3920" w:type="dxa"/>
            <w:vMerge/>
            <w:vAlign w:val="center"/>
          </w:tcPr>
          <w:p w:rsidR="00DF167D" w:rsidRPr="00AA77C7" w:rsidRDefault="00DF167D" w:rsidP="009536F9">
            <w:pPr>
              <w:spacing w:before="20" w:after="20"/>
              <w:jc w:val="left"/>
              <w:rPr>
                <w:noProof/>
                <w:sz w:val="20"/>
              </w:rPr>
            </w:pPr>
          </w:p>
        </w:tc>
        <w:tc>
          <w:tcPr>
            <w:tcW w:w="1417" w:type="dxa"/>
            <w:gridSpan w:val="2"/>
            <w:vAlign w:val="center"/>
          </w:tcPr>
          <w:p w:rsidR="00DF167D" w:rsidRPr="00AA77C7" w:rsidRDefault="00DF167D" w:rsidP="009536F9">
            <w:pPr>
              <w:spacing w:before="40" w:after="40"/>
              <w:jc w:val="left"/>
              <w:rPr>
                <w:noProof/>
                <w:sz w:val="18"/>
              </w:rPr>
            </w:pPr>
            <w:r w:rsidRPr="00AA77C7">
              <w:rPr>
                <w:noProof/>
                <w:sz w:val="18"/>
              </w:rPr>
              <w:t>Platby</w:t>
            </w:r>
          </w:p>
        </w:tc>
        <w:tc>
          <w:tcPr>
            <w:tcW w:w="709" w:type="dxa"/>
            <w:gridSpan w:val="2"/>
            <w:vAlign w:val="center"/>
          </w:tcPr>
          <w:p w:rsidR="00DF167D" w:rsidRPr="00AA77C7" w:rsidRDefault="00DF167D" w:rsidP="009536F9">
            <w:pPr>
              <w:spacing w:before="40" w:after="40"/>
              <w:jc w:val="center"/>
              <w:rPr>
                <w:noProof/>
                <w:sz w:val="14"/>
              </w:rPr>
            </w:pPr>
            <w:r w:rsidRPr="00AA77C7">
              <w:rPr>
                <w:noProof/>
                <w:sz w:val="14"/>
              </w:rPr>
              <w:t>(2)</w:t>
            </w:r>
          </w:p>
        </w:tc>
        <w:tc>
          <w:tcPr>
            <w:tcW w:w="992" w:type="dxa"/>
            <w:vAlign w:val="center"/>
          </w:tcPr>
          <w:p w:rsidR="00DF167D" w:rsidRPr="00AA77C7" w:rsidRDefault="00DF167D" w:rsidP="005D43D3">
            <w:pPr>
              <w:spacing w:before="20" w:after="20"/>
              <w:jc w:val="right"/>
              <w:rPr>
                <w:noProof/>
                <w:sz w:val="20"/>
                <w:szCs w:val="20"/>
              </w:rPr>
            </w:pPr>
            <w:r w:rsidRPr="00AA77C7">
              <w:rPr>
                <w:noProof/>
                <w:sz w:val="20"/>
              </w:rPr>
              <w:t>40,558</w:t>
            </w:r>
          </w:p>
        </w:tc>
        <w:tc>
          <w:tcPr>
            <w:tcW w:w="895" w:type="dxa"/>
            <w:vAlign w:val="center"/>
          </w:tcPr>
          <w:p w:rsidR="00DF167D" w:rsidRPr="00AA77C7" w:rsidRDefault="00DF167D" w:rsidP="005D43D3">
            <w:pPr>
              <w:spacing w:before="20" w:after="20"/>
              <w:jc w:val="right"/>
              <w:rPr>
                <w:noProof/>
                <w:sz w:val="20"/>
                <w:szCs w:val="20"/>
              </w:rPr>
            </w:pPr>
            <w:r w:rsidRPr="00AA77C7">
              <w:rPr>
                <w:noProof/>
                <w:sz w:val="20"/>
              </w:rPr>
              <w:t>54,101</w:t>
            </w:r>
          </w:p>
        </w:tc>
        <w:tc>
          <w:tcPr>
            <w:tcW w:w="868" w:type="dxa"/>
            <w:vAlign w:val="center"/>
          </w:tcPr>
          <w:p w:rsidR="00DF167D" w:rsidRPr="00AA77C7" w:rsidRDefault="00DF167D" w:rsidP="005D43D3">
            <w:pPr>
              <w:spacing w:before="20" w:after="20"/>
              <w:jc w:val="right"/>
              <w:rPr>
                <w:noProof/>
                <w:sz w:val="20"/>
                <w:szCs w:val="20"/>
              </w:rPr>
            </w:pPr>
            <w:r w:rsidRPr="00AA77C7">
              <w:rPr>
                <w:noProof/>
                <w:sz w:val="20"/>
              </w:rPr>
              <w:t>68,138</w:t>
            </w:r>
          </w:p>
        </w:tc>
        <w:tc>
          <w:tcPr>
            <w:tcW w:w="868" w:type="dxa"/>
            <w:vAlign w:val="center"/>
          </w:tcPr>
          <w:p w:rsidR="00DF167D" w:rsidRPr="00AA77C7" w:rsidRDefault="00DF167D" w:rsidP="005D43D3">
            <w:pPr>
              <w:spacing w:before="20" w:after="20"/>
              <w:jc w:val="right"/>
              <w:rPr>
                <w:noProof/>
                <w:sz w:val="20"/>
                <w:szCs w:val="20"/>
              </w:rPr>
            </w:pPr>
            <w:r w:rsidRPr="00AA77C7">
              <w:rPr>
                <w:noProof/>
                <w:sz w:val="20"/>
              </w:rPr>
              <w:t>72,858</w:t>
            </w:r>
          </w:p>
        </w:tc>
        <w:tc>
          <w:tcPr>
            <w:tcW w:w="868" w:type="dxa"/>
            <w:vAlign w:val="center"/>
          </w:tcPr>
          <w:p w:rsidR="00DF167D" w:rsidRPr="00AA77C7" w:rsidRDefault="00DF167D" w:rsidP="005D43D3">
            <w:pPr>
              <w:spacing w:before="20" w:after="20"/>
              <w:jc w:val="right"/>
              <w:rPr>
                <w:noProof/>
                <w:sz w:val="20"/>
                <w:szCs w:val="20"/>
              </w:rPr>
            </w:pPr>
            <w:r w:rsidRPr="00AA77C7">
              <w:rPr>
                <w:noProof/>
                <w:sz w:val="20"/>
              </w:rPr>
              <w:t>75,386</w:t>
            </w:r>
          </w:p>
        </w:tc>
        <w:tc>
          <w:tcPr>
            <w:tcW w:w="868" w:type="dxa"/>
            <w:vAlign w:val="center"/>
          </w:tcPr>
          <w:p w:rsidR="00DF167D" w:rsidRPr="00AA77C7" w:rsidRDefault="00DF167D" w:rsidP="005D43D3">
            <w:pPr>
              <w:spacing w:before="20" w:after="20"/>
              <w:jc w:val="right"/>
              <w:rPr>
                <w:noProof/>
                <w:sz w:val="20"/>
                <w:szCs w:val="20"/>
              </w:rPr>
            </w:pPr>
            <w:r w:rsidRPr="00AA77C7">
              <w:rPr>
                <w:noProof/>
                <w:sz w:val="20"/>
              </w:rPr>
              <w:t>77,563</w:t>
            </w:r>
          </w:p>
        </w:tc>
        <w:tc>
          <w:tcPr>
            <w:tcW w:w="868" w:type="dxa"/>
            <w:vAlign w:val="center"/>
          </w:tcPr>
          <w:p w:rsidR="00DF167D" w:rsidRPr="00AA77C7" w:rsidRDefault="00DF167D" w:rsidP="005D43D3">
            <w:pPr>
              <w:spacing w:before="20" w:after="20"/>
              <w:jc w:val="right"/>
              <w:rPr>
                <w:noProof/>
                <w:sz w:val="20"/>
                <w:szCs w:val="20"/>
              </w:rPr>
            </w:pPr>
            <w:r w:rsidRPr="00AA77C7">
              <w:rPr>
                <w:noProof/>
                <w:sz w:val="20"/>
              </w:rPr>
              <w:t>79,217</w:t>
            </w:r>
          </w:p>
        </w:tc>
        <w:tc>
          <w:tcPr>
            <w:tcW w:w="1002" w:type="dxa"/>
            <w:shd w:val="clear" w:color="auto" w:fill="FFFFFF" w:themeFill="background1"/>
            <w:vAlign w:val="center"/>
          </w:tcPr>
          <w:p w:rsidR="00DF167D" w:rsidRPr="00AA77C7" w:rsidRDefault="00DF167D" w:rsidP="005D43D3">
            <w:pPr>
              <w:spacing w:before="20" w:after="20"/>
              <w:jc w:val="right"/>
              <w:rPr>
                <w:i/>
                <w:sz w:val="20"/>
              </w:rPr>
            </w:pPr>
            <w:r w:rsidRPr="00AA77C7">
              <w:rPr>
                <w:i/>
                <w:noProof/>
                <w:sz w:val="20"/>
              </w:rPr>
              <w:t>95,678</w:t>
            </w:r>
          </w:p>
        </w:tc>
        <w:tc>
          <w:tcPr>
            <w:tcW w:w="1196" w:type="dxa"/>
            <w:gridSpan w:val="2"/>
            <w:vAlign w:val="center"/>
          </w:tcPr>
          <w:p w:rsidR="00DF167D" w:rsidRPr="00AA77C7" w:rsidRDefault="00DF167D" w:rsidP="009536F9">
            <w:pPr>
              <w:spacing w:before="40" w:after="40"/>
              <w:jc w:val="right"/>
              <w:rPr>
                <w:b/>
                <w:sz w:val="20"/>
              </w:rPr>
            </w:pPr>
            <w:r w:rsidRPr="00AA77C7">
              <w:rPr>
                <w:b/>
                <w:noProof/>
                <w:sz w:val="20"/>
              </w:rPr>
              <w:t>563,500</w:t>
            </w:r>
          </w:p>
        </w:tc>
      </w:tr>
      <w:tr w:rsidR="00CB55E2" w:rsidRPr="00AA77C7" w:rsidTr="009536F9">
        <w:trPr>
          <w:trHeight w:val="319"/>
          <w:jc w:val="center"/>
        </w:trPr>
        <w:tc>
          <w:tcPr>
            <w:tcW w:w="3920" w:type="dxa"/>
            <w:vMerge w:val="restart"/>
            <w:vAlign w:val="center"/>
          </w:tcPr>
          <w:p w:rsidR="00DF167D" w:rsidRPr="00AA77C7" w:rsidRDefault="00DF167D" w:rsidP="009536F9">
            <w:pPr>
              <w:spacing w:before="20" w:after="20"/>
              <w:jc w:val="left"/>
              <w:rPr>
                <w:noProof/>
                <w:sz w:val="20"/>
              </w:rPr>
            </w:pPr>
            <w:r w:rsidRPr="00AA77C7">
              <w:rPr>
                <w:noProof/>
                <w:sz w:val="20"/>
              </w:rPr>
              <w:t>07 05 02 – MEDIA</w:t>
            </w:r>
          </w:p>
        </w:tc>
        <w:tc>
          <w:tcPr>
            <w:tcW w:w="1417" w:type="dxa"/>
            <w:gridSpan w:val="2"/>
            <w:vAlign w:val="center"/>
          </w:tcPr>
          <w:p w:rsidR="00DF167D" w:rsidRPr="00AA77C7" w:rsidRDefault="00DF167D" w:rsidP="009536F9">
            <w:pPr>
              <w:spacing w:before="40" w:after="40"/>
              <w:jc w:val="left"/>
              <w:rPr>
                <w:noProof/>
                <w:sz w:val="18"/>
              </w:rPr>
            </w:pPr>
            <w:r w:rsidRPr="00AA77C7">
              <w:rPr>
                <w:noProof/>
                <w:sz w:val="18"/>
              </w:rPr>
              <w:t>Závazky</w:t>
            </w:r>
          </w:p>
        </w:tc>
        <w:tc>
          <w:tcPr>
            <w:tcW w:w="709" w:type="dxa"/>
            <w:gridSpan w:val="2"/>
            <w:vAlign w:val="center"/>
          </w:tcPr>
          <w:p w:rsidR="00DF167D" w:rsidRPr="00AA77C7" w:rsidRDefault="00DF167D" w:rsidP="009536F9">
            <w:pPr>
              <w:spacing w:before="40" w:after="40"/>
              <w:jc w:val="center"/>
              <w:rPr>
                <w:noProof/>
                <w:sz w:val="14"/>
              </w:rPr>
            </w:pPr>
            <w:r w:rsidRPr="00AA77C7">
              <w:rPr>
                <w:noProof/>
                <w:sz w:val="14"/>
              </w:rPr>
              <w:t>(1)</w:t>
            </w:r>
          </w:p>
        </w:tc>
        <w:tc>
          <w:tcPr>
            <w:tcW w:w="992" w:type="dxa"/>
            <w:vAlign w:val="center"/>
          </w:tcPr>
          <w:p w:rsidR="00DF167D" w:rsidRPr="00AA77C7" w:rsidRDefault="00DF167D" w:rsidP="005D43D3">
            <w:pPr>
              <w:spacing w:before="20" w:after="20"/>
              <w:jc w:val="right"/>
              <w:rPr>
                <w:noProof/>
                <w:sz w:val="20"/>
                <w:szCs w:val="20"/>
              </w:rPr>
            </w:pPr>
            <w:r w:rsidRPr="00AA77C7">
              <w:rPr>
                <w:noProof/>
                <w:sz w:val="20"/>
              </w:rPr>
              <w:t>134,221</w:t>
            </w:r>
          </w:p>
        </w:tc>
        <w:tc>
          <w:tcPr>
            <w:tcW w:w="895" w:type="dxa"/>
            <w:vAlign w:val="center"/>
          </w:tcPr>
          <w:p w:rsidR="00DF167D" w:rsidRPr="00AA77C7" w:rsidRDefault="00DF167D" w:rsidP="005D43D3">
            <w:pPr>
              <w:spacing w:before="20" w:after="20"/>
              <w:jc w:val="right"/>
              <w:rPr>
                <w:noProof/>
                <w:sz w:val="20"/>
                <w:szCs w:val="20"/>
              </w:rPr>
            </w:pPr>
            <w:r w:rsidRPr="00AA77C7">
              <w:rPr>
                <w:noProof/>
                <w:sz w:val="20"/>
              </w:rPr>
              <w:t>136,912</w:t>
            </w:r>
          </w:p>
        </w:tc>
        <w:tc>
          <w:tcPr>
            <w:tcW w:w="868" w:type="dxa"/>
            <w:vAlign w:val="center"/>
          </w:tcPr>
          <w:p w:rsidR="00DF167D" w:rsidRPr="00AA77C7" w:rsidRDefault="00DF167D" w:rsidP="005D43D3">
            <w:pPr>
              <w:spacing w:before="20" w:after="20"/>
              <w:jc w:val="right"/>
              <w:rPr>
                <w:noProof/>
                <w:sz w:val="20"/>
                <w:szCs w:val="20"/>
              </w:rPr>
            </w:pPr>
            <w:r w:rsidRPr="00AA77C7">
              <w:rPr>
                <w:noProof/>
                <w:sz w:val="20"/>
              </w:rPr>
              <w:t>139,640</w:t>
            </w:r>
          </w:p>
        </w:tc>
        <w:tc>
          <w:tcPr>
            <w:tcW w:w="868" w:type="dxa"/>
            <w:vAlign w:val="center"/>
          </w:tcPr>
          <w:p w:rsidR="00DF167D" w:rsidRPr="00AA77C7" w:rsidRDefault="00DF167D" w:rsidP="005D43D3">
            <w:pPr>
              <w:spacing w:before="20" w:after="20"/>
              <w:jc w:val="right"/>
              <w:rPr>
                <w:noProof/>
                <w:sz w:val="20"/>
                <w:szCs w:val="20"/>
              </w:rPr>
            </w:pPr>
            <w:r w:rsidRPr="00AA77C7">
              <w:rPr>
                <w:noProof/>
                <w:sz w:val="20"/>
              </w:rPr>
              <w:t>142,439</w:t>
            </w:r>
          </w:p>
        </w:tc>
        <w:tc>
          <w:tcPr>
            <w:tcW w:w="868" w:type="dxa"/>
            <w:vAlign w:val="center"/>
          </w:tcPr>
          <w:p w:rsidR="00DF167D" w:rsidRPr="00AA77C7" w:rsidRDefault="00DF167D" w:rsidP="005D43D3">
            <w:pPr>
              <w:spacing w:before="20" w:after="20"/>
              <w:jc w:val="right"/>
              <w:rPr>
                <w:noProof/>
                <w:sz w:val="20"/>
                <w:szCs w:val="20"/>
              </w:rPr>
            </w:pPr>
            <w:r w:rsidRPr="00AA77C7">
              <w:rPr>
                <w:noProof/>
                <w:sz w:val="20"/>
              </w:rPr>
              <w:t>145,287</w:t>
            </w:r>
          </w:p>
        </w:tc>
        <w:tc>
          <w:tcPr>
            <w:tcW w:w="868" w:type="dxa"/>
            <w:vAlign w:val="center"/>
          </w:tcPr>
          <w:p w:rsidR="00DF167D" w:rsidRPr="00AA77C7" w:rsidRDefault="00DF167D" w:rsidP="005D43D3">
            <w:pPr>
              <w:spacing w:before="20" w:after="20"/>
              <w:jc w:val="right"/>
              <w:rPr>
                <w:noProof/>
                <w:sz w:val="20"/>
                <w:szCs w:val="20"/>
              </w:rPr>
            </w:pPr>
            <w:r w:rsidRPr="00AA77C7">
              <w:rPr>
                <w:noProof/>
                <w:sz w:val="20"/>
              </w:rPr>
              <w:t>148,188</w:t>
            </w:r>
          </w:p>
        </w:tc>
        <w:tc>
          <w:tcPr>
            <w:tcW w:w="868" w:type="dxa"/>
            <w:vAlign w:val="center"/>
          </w:tcPr>
          <w:p w:rsidR="00DF167D" w:rsidRPr="00AA77C7" w:rsidRDefault="00DF167D" w:rsidP="005D43D3">
            <w:pPr>
              <w:spacing w:before="20" w:after="20"/>
              <w:jc w:val="right"/>
              <w:rPr>
                <w:noProof/>
                <w:sz w:val="20"/>
                <w:szCs w:val="20"/>
              </w:rPr>
            </w:pPr>
            <w:r w:rsidRPr="00AA77C7">
              <w:rPr>
                <w:noProof/>
                <w:sz w:val="20"/>
              </w:rPr>
              <w:t>150,313</w:t>
            </w:r>
          </w:p>
        </w:tc>
        <w:tc>
          <w:tcPr>
            <w:tcW w:w="1002" w:type="dxa"/>
            <w:shd w:val="clear" w:color="auto" w:fill="A6A6A6" w:themeFill="background1" w:themeFillShade="A6"/>
            <w:vAlign w:val="center"/>
          </w:tcPr>
          <w:p w:rsidR="00DF167D" w:rsidRPr="00AA77C7" w:rsidRDefault="00DF167D" w:rsidP="009536F9">
            <w:pPr>
              <w:spacing w:before="40" w:after="40"/>
              <w:jc w:val="center"/>
              <w:rPr>
                <w:b/>
                <w:noProof/>
                <w:sz w:val="20"/>
                <w:szCs w:val="20"/>
              </w:rPr>
            </w:pPr>
          </w:p>
        </w:tc>
        <w:tc>
          <w:tcPr>
            <w:tcW w:w="1196" w:type="dxa"/>
            <w:gridSpan w:val="2"/>
            <w:vAlign w:val="center"/>
          </w:tcPr>
          <w:p w:rsidR="00DF167D" w:rsidRPr="00AA77C7" w:rsidRDefault="00DF167D" w:rsidP="009536F9">
            <w:pPr>
              <w:spacing w:before="40" w:after="40"/>
              <w:jc w:val="right"/>
              <w:rPr>
                <w:noProof/>
                <w:sz w:val="20"/>
                <w:szCs w:val="20"/>
              </w:rPr>
            </w:pPr>
            <w:r w:rsidRPr="00AA77C7">
              <w:rPr>
                <w:b/>
                <w:noProof/>
                <w:sz w:val="20"/>
              </w:rPr>
              <w:t>997,000</w:t>
            </w:r>
          </w:p>
        </w:tc>
      </w:tr>
      <w:tr w:rsidR="00CB55E2" w:rsidRPr="00AA77C7" w:rsidTr="009536F9">
        <w:trPr>
          <w:trHeight w:val="319"/>
          <w:jc w:val="center"/>
        </w:trPr>
        <w:tc>
          <w:tcPr>
            <w:tcW w:w="3920" w:type="dxa"/>
            <w:vMerge/>
            <w:vAlign w:val="center"/>
          </w:tcPr>
          <w:p w:rsidR="00DF167D" w:rsidRPr="00AA77C7" w:rsidRDefault="00DF167D" w:rsidP="009536F9">
            <w:pPr>
              <w:spacing w:before="20" w:after="20"/>
              <w:jc w:val="left"/>
              <w:rPr>
                <w:noProof/>
                <w:sz w:val="20"/>
              </w:rPr>
            </w:pPr>
          </w:p>
        </w:tc>
        <w:tc>
          <w:tcPr>
            <w:tcW w:w="1417" w:type="dxa"/>
            <w:gridSpan w:val="2"/>
            <w:vAlign w:val="center"/>
          </w:tcPr>
          <w:p w:rsidR="00DF167D" w:rsidRPr="00AA77C7" w:rsidRDefault="00DF167D" w:rsidP="009536F9">
            <w:pPr>
              <w:spacing w:before="40" w:after="40"/>
              <w:jc w:val="left"/>
              <w:rPr>
                <w:noProof/>
                <w:sz w:val="18"/>
              </w:rPr>
            </w:pPr>
            <w:r w:rsidRPr="00AA77C7">
              <w:rPr>
                <w:noProof/>
                <w:sz w:val="18"/>
              </w:rPr>
              <w:t>Platby</w:t>
            </w:r>
          </w:p>
        </w:tc>
        <w:tc>
          <w:tcPr>
            <w:tcW w:w="709" w:type="dxa"/>
            <w:gridSpan w:val="2"/>
            <w:vAlign w:val="center"/>
          </w:tcPr>
          <w:p w:rsidR="00DF167D" w:rsidRPr="00AA77C7" w:rsidRDefault="00DF167D" w:rsidP="009536F9">
            <w:pPr>
              <w:spacing w:before="40" w:after="40"/>
              <w:jc w:val="center"/>
              <w:rPr>
                <w:noProof/>
                <w:sz w:val="14"/>
              </w:rPr>
            </w:pPr>
            <w:r w:rsidRPr="00AA77C7">
              <w:rPr>
                <w:noProof/>
                <w:sz w:val="14"/>
              </w:rPr>
              <w:t>(2)</w:t>
            </w:r>
          </w:p>
        </w:tc>
        <w:tc>
          <w:tcPr>
            <w:tcW w:w="992" w:type="dxa"/>
            <w:vAlign w:val="center"/>
          </w:tcPr>
          <w:p w:rsidR="00DF167D" w:rsidRPr="00AA77C7" w:rsidRDefault="00DF167D" w:rsidP="005D43D3">
            <w:pPr>
              <w:spacing w:before="20" w:after="20"/>
              <w:jc w:val="right"/>
              <w:rPr>
                <w:noProof/>
                <w:sz w:val="20"/>
                <w:szCs w:val="20"/>
              </w:rPr>
            </w:pPr>
            <w:r w:rsidRPr="00AA77C7">
              <w:rPr>
                <w:noProof/>
                <w:sz w:val="20"/>
              </w:rPr>
              <w:t>70,740</w:t>
            </w:r>
          </w:p>
        </w:tc>
        <w:tc>
          <w:tcPr>
            <w:tcW w:w="895" w:type="dxa"/>
            <w:vAlign w:val="center"/>
          </w:tcPr>
          <w:p w:rsidR="00DF167D" w:rsidRPr="00AA77C7" w:rsidRDefault="00DF167D" w:rsidP="005D43D3">
            <w:pPr>
              <w:spacing w:before="20" w:after="20"/>
              <w:jc w:val="right"/>
              <w:rPr>
                <w:noProof/>
                <w:sz w:val="20"/>
                <w:szCs w:val="20"/>
              </w:rPr>
            </w:pPr>
            <w:r w:rsidRPr="00AA77C7">
              <w:rPr>
                <w:noProof/>
                <w:sz w:val="20"/>
              </w:rPr>
              <w:t>94,534</w:t>
            </w:r>
          </w:p>
        </w:tc>
        <w:tc>
          <w:tcPr>
            <w:tcW w:w="868" w:type="dxa"/>
            <w:vAlign w:val="center"/>
          </w:tcPr>
          <w:p w:rsidR="00DF167D" w:rsidRPr="00AA77C7" w:rsidRDefault="00DF167D" w:rsidP="005D43D3">
            <w:pPr>
              <w:spacing w:before="20" w:after="20"/>
              <w:jc w:val="right"/>
              <w:rPr>
                <w:noProof/>
                <w:sz w:val="20"/>
                <w:szCs w:val="20"/>
              </w:rPr>
            </w:pPr>
            <w:r w:rsidRPr="00AA77C7">
              <w:rPr>
                <w:noProof/>
                <w:sz w:val="20"/>
              </w:rPr>
              <w:t>119,185</w:t>
            </w:r>
          </w:p>
        </w:tc>
        <w:tc>
          <w:tcPr>
            <w:tcW w:w="868" w:type="dxa"/>
            <w:vAlign w:val="center"/>
          </w:tcPr>
          <w:p w:rsidR="00DF167D" w:rsidRPr="00AA77C7" w:rsidRDefault="00DF167D" w:rsidP="005D43D3">
            <w:pPr>
              <w:spacing w:before="20" w:after="20"/>
              <w:jc w:val="right"/>
              <w:rPr>
                <w:noProof/>
                <w:sz w:val="20"/>
                <w:szCs w:val="20"/>
              </w:rPr>
            </w:pPr>
            <w:r w:rsidRPr="00AA77C7">
              <w:rPr>
                <w:noProof/>
                <w:sz w:val="20"/>
              </w:rPr>
              <w:t>127,480</w:t>
            </w:r>
          </w:p>
        </w:tc>
        <w:tc>
          <w:tcPr>
            <w:tcW w:w="868" w:type="dxa"/>
            <w:vAlign w:val="center"/>
          </w:tcPr>
          <w:p w:rsidR="00DF167D" w:rsidRPr="00AA77C7" w:rsidRDefault="00DF167D" w:rsidP="005D43D3">
            <w:pPr>
              <w:spacing w:before="20" w:after="20"/>
              <w:jc w:val="right"/>
              <w:rPr>
                <w:noProof/>
                <w:sz w:val="20"/>
                <w:szCs w:val="20"/>
              </w:rPr>
            </w:pPr>
            <w:r w:rsidRPr="00AA77C7">
              <w:rPr>
                <w:noProof/>
                <w:sz w:val="20"/>
              </w:rPr>
              <w:t>131,902</w:t>
            </w:r>
          </w:p>
        </w:tc>
        <w:tc>
          <w:tcPr>
            <w:tcW w:w="868" w:type="dxa"/>
            <w:vAlign w:val="center"/>
          </w:tcPr>
          <w:p w:rsidR="00DF167D" w:rsidRPr="00AA77C7" w:rsidRDefault="00DF167D" w:rsidP="005D43D3">
            <w:pPr>
              <w:spacing w:before="20" w:after="20"/>
              <w:jc w:val="right"/>
              <w:rPr>
                <w:noProof/>
                <w:sz w:val="20"/>
                <w:szCs w:val="20"/>
              </w:rPr>
            </w:pPr>
            <w:r w:rsidRPr="00AA77C7">
              <w:rPr>
                <w:noProof/>
                <w:sz w:val="20"/>
              </w:rPr>
              <w:t>135,723</w:t>
            </w:r>
          </w:p>
        </w:tc>
        <w:tc>
          <w:tcPr>
            <w:tcW w:w="868" w:type="dxa"/>
            <w:vAlign w:val="center"/>
          </w:tcPr>
          <w:p w:rsidR="00DF167D" w:rsidRPr="00AA77C7" w:rsidRDefault="00DF167D" w:rsidP="005D43D3">
            <w:pPr>
              <w:spacing w:before="20" w:after="20"/>
              <w:jc w:val="right"/>
              <w:rPr>
                <w:noProof/>
                <w:sz w:val="20"/>
                <w:szCs w:val="20"/>
              </w:rPr>
            </w:pPr>
            <w:r w:rsidRPr="00AA77C7">
              <w:rPr>
                <w:noProof/>
                <w:sz w:val="20"/>
              </w:rPr>
              <w:t>138,639</w:t>
            </w:r>
          </w:p>
        </w:tc>
        <w:tc>
          <w:tcPr>
            <w:tcW w:w="1002" w:type="dxa"/>
            <w:shd w:val="clear" w:color="auto" w:fill="FFFFFF" w:themeFill="background1"/>
            <w:vAlign w:val="center"/>
          </w:tcPr>
          <w:p w:rsidR="00DF167D" w:rsidRPr="00AA77C7" w:rsidRDefault="00DF167D" w:rsidP="005D43D3">
            <w:pPr>
              <w:spacing w:before="20" w:after="20"/>
              <w:jc w:val="right"/>
              <w:rPr>
                <w:i/>
                <w:sz w:val="20"/>
              </w:rPr>
            </w:pPr>
            <w:r w:rsidRPr="00AA77C7">
              <w:rPr>
                <w:i/>
                <w:noProof/>
                <w:sz w:val="20"/>
              </w:rPr>
              <w:t>178,798</w:t>
            </w:r>
          </w:p>
        </w:tc>
        <w:tc>
          <w:tcPr>
            <w:tcW w:w="1196" w:type="dxa"/>
            <w:gridSpan w:val="2"/>
            <w:vAlign w:val="center"/>
          </w:tcPr>
          <w:p w:rsidR="00DF167D" w:rsidRPr="00AA77C7" w:rsidRDefault="00DF167D" w:rsidP="009536F9">
            <w:pPr>
              <w:spacing w:before="40" w:after="40"/>
              <w:jc w:val="right"/>
              <w:rPr>
                <w:b/>
                <w:sz w:val="20"/>
              </w:rPr>
            </w:pPr>
            <w:r w:rsidRPr="00AA77C7">
              <w:rPr>
                <w:b/>
                <w:noProof/>
                <w:sz w:val="20"/>
              </w:rPr>
              <w:t>997,000</w:t>
            </w:r>
          </w:p>
        </w:tc>
      </w:tr>
      <w:tr w:rsidR="00CB55E2" w:rsidRPr="00AA77C7" w:rsidTr="009536F9">
        <w:trPr>
          <w:trHeight w:val="319"/>
          <w:jc w:val="center"/>
        </w:trPr>
        <w:tc>
          <w:tcPr>
            <w:tcW w:w="3920" w:type="dxa"/>
            <w:vMerge w:val="restart"/>
            <w:vAlign w:val="center"/>
          </w:tcPr>
          <w:p w:rsidR="00DF167D" w:rsidRPr="00AA77C7" w:rsidRDefault="00DF167D" w:rsidP="009536F9">
            <w:pPr>
              <w:spacing w:before="20" w:after="20"/>
              <w:jc w:val="left"/>
              <w:rPr>
                <w:noProof/>
                <w:sz w:val="20"/>
              </w:rPr>
            </w:pPr>
            <w:r w:rsidRPr="00AA77C7">
              <w:rPr>
                <w:noProof/>
                <w:sz w:val="20"/>
              </w:rPr>
              <w:t>07 05 03 – MEZIDOVĚTVOVÁ SLOŽKA</w:t>
            </w:r>
          </w:p>
        </w:tc>
        <w:tc>
          <w:tcPr>
            <w:tcW w:w="1417" w:type="dxa"/>
            <w:gridSpan w:val="2"/>
            <w:vAlign w:val="center"/>
          </w:tcPr>
          <w:p w:rsidR="00DF167D" w:rsidRPr="00AA77C7" w:rsidRDefault="00DF167D" w:rsidP="009536F9">
            <w:pPr>
              <w:spacing w:before="40" w:after="40"/>
              <w:jc w:val="left"/>
              <w:rPr>
                <w:noProof/>
                <w:sz w:val="18"/>
              </w:rPr>
            </w:pPr>
            <w:r w:rsidRPr="00AA77C7">
              <w:rPr>
                <w:noProof/>
                <w:sz w:val="18"/>
              </w:rPr>
              <w:t>Závazky</w:t>
            </w:r>
          </w:p>
        </w:tc>
        <w:tc>
          <w:tcPr>
            <w:tcW w:w="709" w:type="dxa"/>
            <w:gridSpan w:val="2"/>
            <w:vAlign w:val="center"/>
          </w:tcPr>
          <w:p w:rsidR="00DF167D" w:rsidRPr="00AA77C7" w:rsidRDefault="00DF167D" w:rsidP="009536F9">
            <w:pPr>
              <w:spacing w:before="40" w:after="40"/>
              <w:jc w:val="center"/>
              <w:rPr>
                <w:noProof/>
                <w:sz w:val="14"/>
              </w:rPr>
            </w:pPr>
            <w:r w:rsidRPr="00AA77C7">
              <w:rPr>
                <w:noProof/>
                <w:sz w:val="14"/>
              </w:rPr>
              <w:t>(1)</w:t>
            </w:r>
          </w:p>
        </w:tc>
        <w:tc>
          <w:tcPr>
            <w:tcW w:w="992" w:type="dxa"/>
            <w:vAlign w:val="center"/>
          </w:tcPr>
          <w:p w:rsidR="00DF167D" w:rsidRPr="00AA77C7" w:rsidRDefault="00DF167D" w:rsidP="005D43D3">
            <w:pPr>
              <w:spacing w:before="20" w:after="20"/>
              <w:jc w:val="right"/>
              <w:rPr>
                <w:noProof/>
                <w:sz w:val="20"/>
                <w:szCs w:val="20"/>
              </w:rPr>
            </w:pPr>
            <w:r w:rsidRPr="00AA77C7">
              <w:rPr>
                <w:noProof/>
                <w:sz w:val="20"/>
              </w:rPr>
              <w:t>21,539</w:t>
            </w:r>
          </w:p>
        </w:tc>
        <w:tc>
          <w:tcPr>
            <w:tcW w:w="895" w:type="dxa"/>
            <w:vAlign w:val="center"/>
          </w:tcPr>
          <w:p w:rsidR="00DF167D" w:rsidRPr="00AA77C7" w:rsidRDefault="00DF167D" w:rsidP="005D43D3">
            <w:pPr>
              <w:spacing w:before="20" w:after="20"/>
              <w:jc w:val="right"/>
              <w:rPr>
                <w:noProof/>
                <w:sz w:val="20"/>
                <w:szCs w:val="20"/>
              </w:rPr>
            </w:pPr>
            <w:r w:rsidRPr="00AA77C7">
              <w:rPr>
                <w:noProof/>
                <w:sz w:val="20"/>
              </w:rPr>
              <w:t>21,970</w:t>
            </w:r>
          </w:p>
        </w:tc>
        <w:tc>
          <w:tcPr>
            <w:tcW w:w="868" w:type="dxa"/>
            <w:vAlign w:val="center"/>
          </w:tcPr>
          <w:p w:rsidR="00DF167D" w:rsidRPr="00AA77C7" w:rsidRDefault="00DF167D" w:rsidP="005D43D3">
            <w:pPr>
              <w:spacing w:before="20" w:after="20"/>
              <w:jc w:val="right"/>
              <w:rPr>
                <w:noProof/>
                <w:sz w:val="20"/>
                <w:szCs w:val="20"/>
              </w:rPr>
            </w:pPr>
            <w:r w:rsidRPr="00AA77C7">
              <w:rPr>
                <w:noProof/>
                <w:sz w:val="20"/>
              </w:rPr>
              <w:t>22,409</w:t>
            </w:r>
          </w:p>
        </w:tc>
        <w:tc>
          <w:tcPr>
            <w:tcW w:w="868" w:type="dxa"/>
            <w:vAlign w:val="center"/>
          </w:tcPr>
          <w:p w:rsidR="00DF167D" w:rsidRPr="00AA77C7" w:rsidRDefault="00DF167D" w:rsidP="005D43D3">
            <w:pPr>
              <w:spacing w:before="20" w:after="20"/>
              <w:jc w:val="right"/>
              <w:rPr>
                <w:noProof/>
                <w:sz w:val="20"/>
                <w:szCs w:val="20"/>
              </w:rPr>
            </w:pPr>
            <w:r w:rsidRPr="00AA77C7">
              <w:rPr>
                <w:noProof/>
                <w:sz w:val="20"/>
              </w:rPr>
              <w:t>22,857</w:t>
            </w:r>
          </w:p>
        </w:tc>
        <w:tc>
          <w:tcPr>
            <w:tcW w:w="868" w:type="dxa"/>
            <w:vAlign w:val="center"/>
          </w:tcPr>
          <w:p w:rsidR="00DF167D" w:rsidRPr="00AA77C7" w:rsidRDefault="00DF167D" w:rsidP="005D43D3">
            <w:pPr>
              <w:spacing w:before="20" w:after="20"/>
              <w:jc w:val="right"/>
              <w:rPr>
                <w:noProof/>
                <w:sz w:val="20"/>
                <w:szCs w:val="20"/>
              </w:rPr>
            </w:pPr>
            <w:r w:rsidRPr="00AA77C7">
              <w:rPr>
                <w:noProof/>
                <w:sz w:val="20"/>
              </w:rPr>
              <w:t>23,314</w:t>
            </w:r>
          </w:p>
        </w:tc>
        <w:tc>
          <w:tcPr>
            <w:tcW w:w="868" w:type="dxa"/>
            <w:vAlign w:val="center"/>
          </w:tcPr>
          <w:p w:rsidR="00DF167D" w:rsidRPr="00AA77C7" w:rsidRDefault="00DF167D" w:rsidP="005D43D3">
            <w:pPr>
              <w:spacing w:before="20" w:after="20"/>
              <w:jc w:val="right"/>
              <w:rPr>
                <w:noProof/>
                <w:sz w:val="20"/>
                <w:szCs w:val="20"/>
              </w:rPr>
            </w:pPr>
            <w:r w:rsidRPr="00AA77C7">
              <w:rPr>
                <w:noProof/>
                <w:sz w:val="20"/>
              </w:rPr>
              <w:t>23,781</w:t>
            </w:r>
          </w:p>
        </w:tc>
        <w:tc>
          <w:tcPr>
            <w:tcW w:w="868" w:type="dxa"/>
            <w:vAlign w:val="center"/>
          </w:tcPr>
          <w:p w:rsidR="00DF167D" w:rsidRPr="00AA77C7" w:rsidRDefault="00DF167D" w:rsidP="005D43D3">
            <w:pPr>
              <w:spacing w:before="20" w:after="20"/>
              <w:jc w:val="right"/>
              <w:rPr>
                <w:noProof/>
                <w:sz w:val="20"/>
                <w:szCs w:val="20"/>
              </w:rPr>
            </w:pPr>
            <w:r w:rsidRPr="00AA77C7">
              <w:rPr>
                <w:noProof/>
                <w:sz w:val="20"/>
              </w:rPr>
              <w:t>24,131</w:t>
            </w:r>
          </w:p>
        </w:tc>
        <w:tc>
          <w:tcPr>
            <w:tcW w:w="1002" w:type="dxa"/>
            <w:shd w:val="clear" w:color="auto" w:fill="A6A6A6" w:themeFill="background1" w:themeFillShade="A6"/>
          </w:tcPr>
          <w:p w:rsidR="00DF167D" w:rsidRPr="00AA77C7" w:rsidRDefault="00DF167D" w:rsidP="009536F9">
            <w:pPr>
              <w:spacing w:before="40" w:after="40"/>
              <w:jc w:val="right"/>
              <w:rPr>
                <w:b/>
                <w:noProof/>
                <w:sz w:val="20"/>
                <w:szCs w:val="20"/>
              </w:rPr>
            </w:pPr>
          </w:p>
        </w:tc>
        <w:tc>
          <w:tcPr>
            <w:tcW w:w="1196" w:type="dxa"/>
            <w:gridSpan w:val="2"/>
            <w:vAlign w:val="center"/>
          </w:tcPr>
          <w:p w:rsidR="00DF167D" w:rsidRPr="00AA77C7" w:rsidRDefault="00DF167D" w:rsidP="009536F9">
            <w:pPr>
              <w:spacing w:before="40" w:after="40"/>
              <w:jc w:val="right"/>
              <w:rPr>
                <w:noProof/>
                <w:sz w:val="20"/>
                <w:szCs w:val="20"/>
              </w:rPr>
            </w:pPr>
            <w:r w:rsidRPr="00AA77C7">
              <w:rPr>
                <w:b/>
                <w:sz w:val="20"/>
              </w:rPr>
              <w:t>160,000</w:t>
            </w:r>
          </w:p>
        </w:tc>
      </w:tr>
      <w:tr w:rsidR="00CB55E2" w:rsidRPr="00AA77C7" w:rsidTr="009536F9">
        <w:trPr>
          <w:trHeight w:val="319"/>
          <w:jc w:val="center"/>
        </w:trPr>
        <w:tc>
          <w:tcPr>
            <w:tcW w:w="3920" w:type="dxa"/>
            <w:vMerge/>
            <w:vAlign w:val="center"/>
          </w:tcPr>
          <w:p w:rsidR="00DF167D" w:rsidRPr="00AA77C7" w:rsidRDefault="00DF167D" w:rsidP="009536F9">
            <w:pPr>
              <w:spacing w:before="20" w:after="20"/>
              <w:jc w:val="left"/>
              <w:rPr>
                <w:noProof/>
                <w:sz w:val="20"/>
              </w:rPr>
            </w:pPr>
          </w:p>
        </w:tc>
        <w:tc>
          <w:tcPr>
            <w:tcW w:w="1417" w:type="dxa"/>
            <w:gridSpan w:val="2"/>
            <w:vAlign w:val="center"/>
          </w:tcPr>
          <w:p w:rsidR="00DF167D" w:rsidRPr="00AA77C7" w:rsidRDefault="00DF167D" w:rsidP="009536F9">
            <w:pPr>
              <w:spacing w:before="40" w:after="40"/>
              <w:jc w:val="left"/>
              <w:rPr>
                <w:noProof/>
                <w:sz w:val="18"/>
              </w:rPr>
            </w:pPr>
            <w:r w:rsidRPr="00AA77C7">
              <w:rPr>
                <w:noProof/>
                <w:sz w:val="18"/>
              </w:rPr>
              <w:t>Platby</w:t>
            </w:r>
          </w:p>
        </w:tc>
        <w:tc>
          <w:tcPr>
            <w:tcW w:w="709" w:type="dxa"/>
            <w:gridSpan w:val="2"/>
            <w:vAlign w:val="center"/>
          </w:tcPr>
          <w:p w:rsidR="00DF167D" w:rsidRPr="00AA77C7" w:rsidRDefault="00DF167D" w:rsidP="009536F9">
            <w:pPr>
              <w:spacing w:before="40" w:after="40"/>
              <w:jc w:val="center"/>
              <w:rPr>
                <w:noProof/>
                <w:sz w:val="14"/>
              </w:rPr>
            </w:pPr>
            <w:r w:rsidRPr="00AA77C7">
              <w:rPr>
                <w:noProof/>
                <w:sz w:val="14"/>
              </w:rPr>
              <w:t>(2)</w:t>
            </w:r>
          </w:p>
        </w:tc>
        <w:tc>
          <w:tcPr>
            <w:tcW w:w="992" w:type="dxa"/>
            <w:vAlign w:val="center"/>
          </w:tcPr>
          <w:p w:rsidR="00DF167D" w:rsidRPr="00AA77C7" w:rsidRDefault="00DF167D" w:rsidP="005D43D3">
            <w:pPr>
              <w:spacing w:before="20" w:after="20"/>
              <w:jc w:val="right"/>
              <w:rPr>
                <w:noProof/>
                <w:sz w:val="20"/>
                <w:szCs w:val="20"/>
              </w:rPr>
            </w:pPr>
            <w:r w:rsidRPr="00AA77C7">
              <w:rPr>
                <w:noProof/>
                <w:sz w:val="20"/>
              </w:rPr>
              <w:t>12,730</w:t>
            </w:r>
          </w:p>
        </w:tc>
        <w:tc>
          <w:tcPr>
            <w:tcW w:w="895" w:type="dxa"/>
            <w:vAlign w:val="center"/>
          </w:tcPr>
          <w:p w:rsidR="00DF167D" w:rsidRPr="00AA77C7" w:rsidRDefault="00DF167D" w:rsidP="005D43D3">
            <w:pPr>
              <w:spacing w:before="20" w:after="20"/>
              <w:jc w:val="right"/>
              <w:rPr>
                <w:noProof/>
                <w:sz w:val="20"/>
                <w:szCs w:val="20"/>
              </w:rPr>
            </w:pPr>
            <w:r w:rsidRPr="00AA77C7">
              <w:rPr>
                <w:noProof/>
                <w:sz w:val="20"/>
              </w:rPr>
              <w:t>16,457</w:t>
            </w:r>
          </w:p>
        </w:tc>
        <w:tc>
          <w:tcPr>
            <w:tcW w:w="868" w:type="dxa"/>
            <w:vAlign w:val="center"/>
          </w:tcPr>
          <w:p w:rsidR="00DF167D" w:rsidRPr="00AA77C7" w:rsidRDefault="00DF167D" w:rsidP="005D43D3">
            <w:pPr>
              <w:spacing w:before="20" w:after="20"/>
              <w:jc w:val="right"/>
              <w:rPr>
                <w:noProof/>
                <w:sz w:val="20"/>
                <w:szCs w:val="20"/>
              </w:rPr>
            </w:pPr>
            <w:r w:rsidRPr="00AA77C7">
              <w:rPr>
                <w:noProof/>
                <w:sz w:val="20"/>
              </w:rPr>
              <w:t>20,319</w:t>
            </w:r>
          </w:p>
        </w:tc>
        <w:tc>
          <w:tcPr>
            <w:tcW w:w="868" w:type="dxa"/>
            <w:vAlign w:val="center"/>
          </w:tcPr>
          <w:p w:rsidR="00DF167D" w:rsidRPr="00AA77C7" w:rsidRDefault="00DF167D" w:rsidP="005D43D3">
            <w:pPr>
              <w:spacing w:before="20" w:after="20"/>
              <w:jc w:val="right"/>
              <w:rPr>
                <w:noProof/>
                <w:sz w:val="20"/>
                <w:szCs w:val="20"/>
              </w:rPr>
            </w:pPr>
            <w:r w:rsidRPr="00AA77C7">
              <w:rPr>
                <w:noProof/>
                <w:sz w:val="20"/>
              </w:rPr>
              <w:t>21,642</w:t>
            </w:r>
          </w:p>
        </w:tc>
        <w:tc>
          <w:tcPr>
            <w:tcW w:w="868" w:type="dxa"/>
            <w:vAlign w:val="center"/>
          </w:tcPr>
          <w:p w:rsidR="00DF167D" w:rsidRPr="00AA77C7" w:rsidRDefault="00DF167D" w:rsidP="005D43D3">
            <w:pPr>
              <w:spacing w:before="20" w:after="20"/>
              <w:jc w:val="right"/>
              <w:rPr>
                <w:noProof/>
                <w:sz w:val="20"/>
                <w:szCs w:val="20"/>
              </w:rPr>
            </w:pPr>
            <w:r w:rsidRPr="00AA77C7">
              <w:rPr>
                <w:noProof/>
                <w:sz w:val="20"/>
              </w:rPr>
              <w:t>22,365</w:t>
            </w:r>
          </w:p>
        </w:tc>
        <w:tc>
          <w:tcPr>
            <w:tcW w:w="868" w:type="dxa"/>
            <w:vAlign w:val="center"/>
          </w:tcPr>
          <w:p w:rsidR="00DF167D" w:rsidRPr="00AA77C7" w:rsidRDefault="00DF167D" w:rsidP="005D43D3">
            <w:pPr>
              <w:spacing w:before="20" w:after="20"/>
              <w:jc w:val="right"/>
              <w:rPr>
                <w:noProof/>
                <w:sz w:val="20"/>
                <w:szCs w:val="20"/>
              </w:rPr>
            </w:pPr>
            <w:r w:rsidRPr="00AA77C7">
              <w:rPr>
                <w:noProof/>
                <w:sz w:val="20"/>
              </w:rPr>
              <w:t>22,997</w:t>
            </w:r>
          </w:p>
        </w:tc>
        <w:tc>
          <w:tcPr>
            <w:tcW w:w="868" w:type="dxa"/>
            <w:vAlign w:val="center"/>
          </w:tcPr>
          <w:p w:rsidR="00DF167D" w:rsidRPr="00AA77C7" w:rsidRDefault="00DF167D" w:rsidP="005D43D3">
            <w:pPr>
              <w:spacing w:before="20" w:after="20"/>
              <w:jc w:val="right"/>
              <w:rPr>
                <w:noProof/>
                <w:sz w:val="20"/>
                <w:szCs w:val="20"/>
              </w:rPr>
            </w:pPr>
            <w:r w:rsidRPr="00AA77C7">
              <w:rPr>
                <w:noProof/>
                <w:sz w:val="20"/>
              </w:rPr>
              <w:t>23,487</w:t>
            </w:r>
          </w:p>
        </w:tc>
        <w:tc>
          <w:tcPr>
            <w:tcW w:w="1002" w:type="dxa"/>
            <w:shd w:val="clear" w:color="auto" w:fill="FFFFFF" w:themeFill="background1"/>
            <w:vAlign w:val="center"/>
          </w:tcPr>
          <w:p w:rsidR="00DF167D" w:rsidRPr="00AA77C7" w:rsidRDefault="00DF167D" w:rsidP="005D43D3">
            <w:pPr>
              <w:spacing w:before="20" w:after="20"/>
              <w:jc w:val="right"/>
              <w:rPr>
                <w:i/>
                <w:sz w:val="20"/>
              </w:rPr>
            </w:pPr>
            <w:r w:rsidRPr="00AA77C7">
              <w:rPr>
                <w:i/>
                <w:noProof/>
                <w:sz w:val="20"/>
              </w:rPr>
              <w:t>20,003</w:t>
            </w:r>
          </w:p>
        </w:tc>
        <w:tc>
          <w:tcPr>
            <w:tcW w:w="1196" w:type="dxa"/>
            <w:gridSpan w:val="2"/>
            <w:vAlign w:val="center"/>
          </w:tcPr>
          <w:p w:rsidR="00DF167D" w:rsidRPr="00AA77C7" w:rsidRDefault="00DF167D" w:rsidP="009536F9">
            <w:pPr>
              <w:spacing w:before="40" w:after="40"/>
              <w:jc w:val="right"/>
              <w:rPr>
                <w:b/>
                <w:sz w:val="20"/>
              </w:rPr>
            </w:pPr>
            <w:r w:rsidRPr="00AA77C7">
              <w:rPr>
                <w:b/>
                <w:noProof/>
                <w:sz w:val="20"/>
              </w:rPr>
              <w:t>160,000</w:t>
            </w:r>
          </w:p>
        </w:tc>
      </w:tr>
      <w:tr w:rsidR="00CB55E2" w:rsidRPr="00AA77C7" w:rsidTr="009536F9">
        <w:trPr>
          <w:trHeight w:val="319"/>
          <w:jc w:val="center"/>
        </w:trPr>
        <w:tc>
          <w:tcPr>
            <w:tcW w:w="3920" w:type="dxa"/>
            <w:vAlign w:val="center"/>
          </w:tcPr>
          <w:p w:rsidR="00DF167D" w:rsidRPr="00AA77C7" w:rsidRDefault="00DF167D" w:rsidP="009536F9">
            <w:pPr>
              <w:spacing w:before="20" w:after="20"/>
              <w:jc w:val="left"/>
              <w:rPr>
                <w:b/>
                <w:noProof/>
              </w:rPr>
            </w:pPr>
            <w:r w:rsidRPr="00AA77C7">
              <w:rPr>
                <w:b/>
                <w:noProof/>
                <w:sz w:val="20"/>
              </w:rPr>
              <w:t>Prostředky správní povahy financované z krytí programu</w:t>
            </w:r>
            <w:r w:rsidRPr="00AA77C7">
              <w:rPr>
                <w:b/>
                <w:noProof/>
                <w:sz w:val="21"/>
              </w:rPr>
              <w:t xml:space="preserve"> </w:t>
            </w:r>
          </w:p>
        </w:tc>
        <w:tc>
          <w:tcPr>
            <w:tcW w:w="1417" w:type="dxa"/>
            <w:gridSpan w:val="2"/>
            <w:vAlign w:val="center"/>
          </w:tcPr>
          <w:p w:rsidR="00DF167D" w:rsidRPr="00AA77C7" w:rsidRDefault="00DF167D" w:rsidP="009536F9">
            <w:pPr>
              <w:spacing w:before="40" w:after="40"/>
              <w:jc w:val="left"/>
              <w:rPr>
                <w:noProof/>
                <w:sz w:val="18"/>
              </w:rPr>
            </w:pPr>
            <w:r w:rsidRPr="00AA77C7">
              <w:rPr>
                <w:noProof/>
                <w:sz w:val="18"/>
              </w:rPr>
              <w:t>Závazky = Platby</w:t>
            </w:r>
          </w:p>
        </w:tc>
        <w:tc>
          <w:tcPr>
            <w:tcW w:w="709" w:type="dxa"/>
            <w:gridSpan w:val="2"/>
            <w:vAlign w:val="center"/>
          </w:tcPr>
          <w:p w:rsidR="00DF167D" w:rsidRPr="00AA77C7" w:rsidRDefault="00DF167D" w:rsidP="009536F9">
            <w:pPr>
              <w:spacing w:before="40" w:after="40"/>
              <w:jc w:val="center"/>
              <w:rPr>
                <w:noProof/>
                <w:sz w:val="14"/>
              </w:rPr>
            </w:pPr>
            <w:r w:rsidRPr="00AA77C7">
              <w:rPr>
                <w:noProof/>
                <w:sz w:val="14"/>
              </w:rPr>
              <w:t>(3)</w:t>
            </w:r>
          </w:p>
        </w:tc>
        <w:tc>
          <w:tcPr>
            <w:tcW w:w="992" w:type="dxa"/>
            <w:vAlign w:val="center"/>
          </w:tcPr>
          <w:p w:rsidR="00DF167D" w:rsidRPr="00AA77C7" w:rsidRDefault="00DF167D" w:rsidP="009536F9">
            <w:pPr>
              <w:spacing w:before="40" w:after="40"/>
              <w:jc w:val="right"/>
              <w:rPr>
                <w:b/>
                <w:noProof/>
                <w:sz w:val="20"/>
                <w:szCs w:val="20"/>
              </w:rPr>
            </w:pPr>
          </w:p>
        </w:tc>
        <w:tc>
          <w:tcPr>
            <w:tcW w:w="895" w:type="dxa"/>
            <w:vAlign w:val="center"/>
          </w:tcPr>
          <w:p w:rsidR="00DF167D" w:rsidRPr="00AA77C7" w:rsidRDefault="00DF167D" w:rsidP="009536F9">
            <w:pPr>
              <w:spacing w:before="40" w:after="40"/>
              <w:jc w:val="right"/>
              <w:rPr>
                <w:b/>
                <w:noProof/>
                <w:sz w:val="20"/>
                <w:szCs w:val="20"/>
              </w:rPr>
            </w:pPr>
          </w:p>
        </w:tc>
        <w:tc>
          <w:tcPr>
            <w:tcW w:w="868" w:type="dxa"/>
            <w:vAlign w:val="center"/>
          </w:tcPr>
          <w:p w:rsidR="00DF167D" w:rsidRPr="00AA77C7" w:rsidRDefault="00DF167D" w:rsidP="009536F9">
            <w:pPr>
              <w:spacing w:before="40" w:after="40"/>
              <w:jc w:val="right"/>
              <w:rPr>
                <w:b/>
                <w:noProof/>
                <w:sz w:val="20"/>
                <w:szCs w:val="20"/>
              </w:rPr>
            </w:pPr>
          </w:p>
        </w:tc>
        <w:tc>
          <w:tcPr>
            <w:tcW w:w="868" w:type="dxa"/>
            <w:vAlign w:val="center"/>
          </w:tcPr>
          <w:p w:rsidR="00DF167D" w:rsidRPr="00AA77C7" w:rsidRDefault="00DF167D" w:rsidP="009536F9">
            <w:pPr>
              <w:spacing w:before="40" w:after="40"/>
              <w:jc w:val="right"/>
              <w:rPr>
                <w:b/>
                <w:noProof/>
                <w:sz w:val="20"/>
                <w:szCs w:val="20"/>
              </w:rPr>
            </w:pPr>
          </w:p>
        </w:tc>
        <w:tc>
          <w:tcPr>
            <w:tcW w:w="868" w:type="dxa"/>
            <w:vAlign w:val="center"/>
          </w:tcPr>
          <w:p w:rsidR="00DF167D" w:rsidRPr="00AA77C7" w:rsidRDefault="00DF167D" w:rsidP="009536F9">
            <w:pPr>
              <w:spacing w:before="40" w:after="40"/>
              <w:jc w:val="right"/>
              <w:rPr>
                <w:b/>
                <w:noProof/>
                <w:sz w:val="20"/>
                <w:szCs w:val="20"/>
              </w:rPr>
            </w:pPr>
          </w:p>
        </w:tc>
        <w:tc>
          <w:tcPr>
            <w:tcW w:w="868" w:type="dxa"/>
            <w:vAlign w:val="center"/>
          </w:tcPr>
          <w:p w:rsidR="00DF167D" w:rsidRPr="00AA77C7" w:rsidRDefault="00DF167D" w:rsidP="009536F9">
            <w:pPr>
              <w:spacing w:before="40" w:after="40"/>
              <w:jc w:val="right"/>
              <w:rPr>
                <w:b/>
                <w:noProof/>
                <w:sz w:val="20"/>
                <w:szCs w:val="20"/>
              </w:rPr>
            </w:pPr>
          </w:p>
        </w:tc>
        <w:tc>
          <w:tcPr>
            <w:tcW w:w="868" w:type="dxa"/>
            <w:vAlign w:val="center"/>
          </w:tcPr>
          <w:p w:rsidR="00DF167D" w:rsidRPr="00AA77C7" w:rsidRDefault="00DF167D" w:rsidP="009536F9">
            <w:pPr>
              <w:spacing w:before="40" w:after="40"/>
              <w:jc w:val="right"/>
              <w:rPr>
                <w:b/>
                <w:noProof/>
                <w:sz w:val="20"/>
                <w:szCs w:val="20"/>
              </w:rPr>
            </w:pPr>
          </w:p>
        </w:tc>
        <w:tc>
          <w:tcPr>
            <w:tcW w:w="1002" w:type="dxa"/>
            <w:shd w:val="clear" w:color="auto" w:fill="A6A6A6" w:themeFill="background1" w:themeFillShade="A6"/>
          </w:tcPr>
          <w:p w:rsidR="00DF167D" w:rsidRPr="00AA77C7" w:rsidRDefault="00DF167D" w:rsidP="009536F9">
            <w:pPr>
              <w:spacing w:before="40" w:after="40"/>
              <w:jc w:val="right"/>
              <w:rPr>
                <w:b/>
                <w:noProof/>
                <w:sz w:val="20"/>
                <w:szCs w:val="20"/>
              </w:rPr>
            </w:pPr>
          </w:p>
        </w:tc>
        <w:tc>
          <w:tcPr>
            <w:tcW w:w="1196" w:type="dxa"/>
            <w:gridSpan w:val="2"/>
            <w:vAlign w:val="center"/>
          </w:tcPr>
          <w:p w:rsidR="00DF167D" w:rsidRPr="00AA77C7" w:rsidRDefault="00DF167D" w:rsidP="009536F9">
            <w:pPr>
              <w:spacing w:before="40" w:after="40"/>
              <w:jc w:val="right"/>
              <w:rPr>
                <w:b/>
                <w:noProof/>
                <w:sz w:val="20"/>
                <w:szCs w:val="20"/>
              </w:rPr>
            </w:pPr>
          </w:p>
        </w:tc>
      </w:tr>
      <w:tr w:rsidR="00CB55E2" w:rsidRPr="00AA77C7" w:rsidTr="009536F9">
        <w:trPr>
          <w:trHeight w:val="319"/>
          <w:jc w:val="center"/>
        </w:trPr>
        <w:tc>
          <w:tcPr>
            <w:tcW w:w="3920" w:type="dxa"/>
            <w:vAlign w:val="center"/>
          </w:tcPr>
          <w:p w:rsidR="00DF167D" w:rsidRPr="00AA77C7" w:rsidRDefault="00DF167D" w:rsidP="009536F9">
            <w:pPr>
              <w:spacing w:before="20" w:after="20"/>
              <w:jc w:val="left"/>
              <w:rPr>
                <w:noProof/>
                <w:sz w:val="20"/>
              </w:rPr>
            </w:pPr>
            <w:r w:rsidRPr="00AA77C7">
              <w:rPr>
                <w:noProof/>
                <w:sz w:val="20"/>
              </w:rPr>
              <w:t>07 01 04 XX Správní podpora programu Kreativní Evropa</w:t>
            </w:r>
          </w:p>
        </w:tc>
        <w:tc>
          <w:tcPr>
            <w:tcW w:w="1417" w:type="dxa"/>
            <w:gridSpan w:val="2"/>
            <w:vAlign w:val="center"/>
          </w:tcPr>
          <w:p w:rsidR="00DF167D" w:rsidRPr="00AA77C7" w:rsidRDefault="00DF167D" w:rsidP="009536F9">
            <w:pPr>
              <w:spacing w:before="40" w:after="40"/>
              <w:jc w:val="left"/>
              <w:rPr>
                <w:noProof/>
                <w:sz w:val="18"/>
              </w:rPr>
            </w:pPr>
            <w:r w:rsidRPr="00AA77C7">
              <w:rPr>
                <w:noProof/>
                <w:sz w:val="18"/>
              </w:rPr>
              <w:t>Závazky = Platby</w:t>
            </w:r>
          </w:p>
        </w:tc>
        <w:tc>
          <w:tcPr>
            <w:tcW w:w="709" w:type="dxa"/>
            <w:gridSpan w:val="2"/>
            <w:vAlign w:val="center"/>
          </w:tcPr>
          <w:p w:rsidR="00DF167D" w:rsidRPr="00AA77C7" w:rsidRDefault="00DF167D" w:rsidP="009536F9">
            <w:pPr>
              <w:spacing w:before="40" w:after="40"/>
              <w:jc w:val="center"/>
              <w:rPr>
                <w:noProof/>
                <w:sz w:val="14"/>
              </w:rPr>
            </w:pPr>
            <w:r w:rsidRPr="00AA77C7">
              <w:rPr>
                <w:noProof/>
                <w:sz w:val="14"/>
              </w:rPr>
              <w:t>(3)</w:t>
            </w:r>
          </w:p>
        </w:tc>
        <w:tc>
          <w:tcPr>
            <w:tcW w:w="992" w:type="dxa"/>
            <w:vAlign w:val="center"/>
          </w:tcPr>
          <w:p w:rsidR="00DF167D" w:rsidRPr="00AA77C7" w:rsidRDefault="00DF167D" w:rsidP="009536F9">
            <w:pPr>
              <w:spacing w:before="40" w:after="40"/>
              <w:jc w:val="right"/>
              <w:rPr>
                <w:noProof/>
                <w:sz w:val="20"/>
                <w:szCs w:val="20"/>
              </w:rPr>
            </w:pPr>
            <w:r w:rsidRPr="00AA77C7">
              <w:rPr>
                <w:noProof/>
                <w:sz w:val="20"/>
              </w:rPr>
              <w:t>17,420</w:t>
            </w:r>
          </w:p>
        </w:tc>
        <w:tc>
          <w:tcPr>
            <w:tcW w:w="895" w:type="dxa"/>
            <w:vAlign w:val="center"/>
          </w:tcPr>
          <w:p w:rsidR="00DF167D" w:rsidRPr="00AA77C7" w:rsidRDefault="00DF167D" w:rsidP="009536F9">
            <w:pPr>
              <w:spacing w:before="40" w:after="40"/>
              <w:jc w:val="right"/>
              <w:rPr>
                <w:noProof/>
                <w:sz w:val="20"/>
                <w:szCs w:val="20"/>
              </w:rPr>
            </w:pPr>
            <w:r w:rsidRPr="00AA77C7">
              <w:rPr>
                <w:noProof/>
                <w:sz w:val="20"/>
              </w:rPr>
              <w:t>17,760</w:t>
            </w:r>
          </w:p>
        </w:tc>
        <w:tc>
          <w:tcPr>
            <w:tcW w:w="868" w:type="dxa"/>
            <w:vAlign w:val="center"/>
          </w:tcPr>
          <w:p w:rsidR="00DF167D" w:rsidRPr="00AA77C7" w:rsidRDefault="00DF167D" w:rsidP="009536F9">
            <w:pPr>
              <w:spacing w:before="40" w:after="40"/>
              <w:jc w:val="right"/>
              <w:rPr>
                <w:noProof/>
                <w:sz w:val="20"/>
                <w:szCs w:val="20"/>
              </w:rPr>
            </w:pPr>
            <w:r w:rsidRPr="00AA77C7">
              <w:rPr>
                <w:noProof/>
                <w:sz w:val="20"/>
              </w:rPr>
              <w:t>18,125</w:t>
            </w:r>
          </w:p>
        </w:tc>
        <w:tc>
          <w:tcPr>
            <w:tcW w:w="868" w:type="dxa"/>
            <w:vAlign w:val="center"/>
          </w:tcPr>
          <w:p w:rsidR="00DF167D" w:rsidRPr="00AA77C7" w:rsidRDefault="00DF167D" w:rsidP="009536F9">
            <w:pPr>
              <w:spacing w:before="40" w:after="40"/>
              <w:jc w:val="right"/>
              <w:rPr>
                <w:noProof/>
                <w:sz w:val="20"/>
                <w:szCs w:val="20"/>
              </w:rPr>
            </w:pPr>
            <w:r w:rsidRPr="00AA77C7">
              <w:rPr>
                <w:noProof/>
                <w:sz w:val="20"/>
              </w:rPr>
              <w:t>18,485</w:t>
            </w:r>
          </w:p>
        </w:tc>
        <w:tc>
          <w:tcPr>
            <w:tcW w:w="868" w:type="dxa"/>
            <w:vAlign w:val="center"/>
          </w:tcPr>
          <w:p w:rsidR="00DF167D" w:rsidRPr="00AA77C7" w:rsidRDefault="00DF167D" w:rsidP="009536F9">
            <w:pPr>
              <w:spacing w:before="40" w:after="40"/>
              <w:jc w:val="right"/>
              <w:rPr>
                <w:noProof/>
                <w:sz w:val="20"/>
                <w:szCs w:val="20"/>
              </w:rPr>
            </w:pPr>
            <w:r w:rsidRPr="00AA77C7">
              <w:rPr>
                <w:noProof/>
                <w:sz w:val="20"/>
              </w:rPr>
              <w:t>18,850</w:t>
            </w:r>
          </w:p>
        </w:tc>
        <w:tc>
          <w:tcPr>
            <w:tcW w:w="868" w:type="dxa"/>
            <w:vAlign w:val="center"/>
          </w:tcPr>
          <w:p w:rsidR="00DF167D" w:rsidRPr="00AA77C7" w:rsidRDefault="00DF167D" w:rsidP="009536F9">
            <w:pPr>
              <w:spacing w:before="40" w:after="40"/>
              <w:jc w:val="right"/>
              <w:rPr>
                <w:noProof/>
                <w:sz w:val="20"/>
                <w:szCs w:val="20"/>
              </w:rPr>
            </w:pPr>
            <w:r w:rsidRPr="00AA77C7">
              <w:rPr>
                <w:noProof/>
                <w:sz w:val="20"/>
              </w:rPr>
              <w:t>19,239</w:t>
            </w:r>
          </w:p>
        </w:tc>
        <w:tc>
          <w:tcPr>
            <w:tcW w:w="868" w:type="dxa"/>
            <w:vAlign w:val="center"/>
          </w:tcPr>
          <w:p w:rsidR="00DF167D" w:rsidRPr="00AA77C7" w:rsidRDefault="00DF167D" w:rsidP="009536F9">
            <w:pPr>
              <w:spacing w:before="40" w:after="40"/>
              <w:jc w:val="right"/>
              <w:rPr>
                <w:noProof/>
                <w:sz w:val="20"/>
                <w:szCs w:val="20"/>
              </w:rPr>
            </w:pPr>
            <w:r w:rsidRPr="00AA77C7">
              <w:rPr>
                <w:noProof/>
                <w:sz w:val="20"/>
              </w:rPr>
              <w:t>19,621</w:t>
            </w:r>
          </w:p>
        </w:tc>
        <w:tc>
          <w:tcPr>
            <w:tcW w:w="1002" w:type="dxa"/>
            <w:shd w:val="clear" w:color="auto" w:fill="A6A6A6" w:themeFill="background1" w:themeFillShade="A6"/>
          </w:tcPr>
          <w:p w:rsidR="00DF167D" w:rsidRPr="00AA77C7" w:rsidRDefault="00DF167D" w:rsidP="009536F9">
            <w:pPr>
              <w:spacing w:before="40" w:after="40"/>
              <w:jc w:val="right"/>
              <w:rPr>
                <w:b/>
                <w:noProof/>
                <w:sz w:val="20"/>
                <w:szCs w:val="20"/>
              </w:rPr>
            </w:pPr>
          </w:p>
        </w:tc>
        <w:tc>
          <w:tcPr>
            <w:tcW w:w="1196" w:type="dxa"/>
            <w:gridSpan w:val="2"/>
            <w:vAlign w:val="center"/>
          </w:tcPr>
          <w:p w:rsidR="00DF167D" w:rsidRPr="00AA77C7" w:rsidRDefault="00DF167D" w:rsidP="009536F9">
            <w:pPr>
              <w:spacing w:before="40" w:after="40"/>
              <w:jc w:val="right"/>
              <w:rPr>
                <w:b/>
                <w:noProof/>
                <w:sz w:val="20"/>
                <w:szCs w:val="20"/>
              </w:rPr>
            </w:pPr>
            <w:r w:rsidRPr="00AA77C7">
              <w:rPr>
                <w:b/>
                <w:noProof/>
                <w:sz w:val="20"/>
              </w:rPr>
              <w:t>129,500</w:t>
            </w:r>
          </w:p>
        </w:tc>
      </w:tr>
      <w:tr w:rsidR="00CB55E2" w:rsidRPr="00AA77C7" w:rsidTr="009536F9">
        <w:trPr>
          <w:jc w:val="center"/>
        </w:trPr>
        <w:tc>
          <w:tcPr>
            <w:tcW w:w="3920" w:type="dxa"/>
            <w:vMerge w:val="restart"/>
            <w:vAlign w:val="center"/>
          </w:tcPr>
          <w:p w:rsidR="00DF167D" w:rsidRPr="00AA77C7" w:rsidRDefault="00DF167D" w:rsidP="009536F9">
            <w:pPr>
              <w:jc w:val="left"/>
              <w:rPr>
                <w:b/>
                <w:noProof/>
              </w:rPr>
            </w:pPr>
            <w:r w:rsidRPr="00AA77C7">
              <w:rPr>
                <w:b/>
                <w:noProof/>
                <w:sz w:val="22"/>
              </w:rPr>
              <w:t>Prostředky na krytí programu CELKEM</w:t>
            </w:r>
            <w:r w:rsidRPr="00AA77C7">
              <w:rPr>
                <w:rStyle w:val="Znakapoznpodarou"/>
                <w:b/>
                <w:noProof/>
                <w:sz w:val="22"/>
              </w:rPr>
              <w:footnoteReference w:id="38"/>
            </w:r>
          </w:p>
        </w:tc>
        <w:tc>
          <w:tcPr>
            <w:tcW w:w="1417" w:type="dxa"/>
            <w:gridSpan w:val="2"/>
            <w:vAlign w:val="center"/>
          </w:tcPr>
          <w:p w:rsidR="00DF167D" w:rsidRPr="00AA77C7" w:rsidRDefault="00DF167D" w:rsidP="009536F9">
            <w:pPr>
              <w:jc w:val="left"/>
              <w:rPr>
                <w:b/>
                <w:noProof/>
                <w:sz w:val="18"/>
              </w:rPr>
            </w:pPr>
            <w:r w:rsidRPr="00AA77C7">
              <w:rPr>
                <w:b/>
                <w:noProof/>
                <w:sz w:val="18"/>
              </w:rPr>
              <w:t>Závazky</w:t>
            </w:r>
          </w:p>
        </w:tc>
        <w:tc>
          <w:tcPr>
            <w:tcW w:w="709" w:type="dxa"/>
            <w:gridSpan w:val="2"/>
            <w:vAlign w:val="center"/>
          </w:tcPr>
          <w:p w:rsidR="00DF167D" w:rsidRPr="00AA77C7" w:rsidRDefault="00DF167D" w:rsidP="009536F9">
            <w:pPr>
              <w:jc w:val="center"/>
              <w:rPr>
                <w:b/>
                <w:noProof/>
                <w:sz w:val="14"/>
              </w:rPr>
            </w:pPr>
            <w:r w:rsidRPr="00AA77C7">
              <w:rPr>
                <w:b/>
                <w:noProof/>
                <w:sz w:val="14"/>
              </w:rPr>
              <w:t>=1+3</w:t>
            </w:r>
          </w:p>
        </w:tc>
        <w:tc>
          <w:tcPr>
            <w:tcW w:w="992" w:type="dxa"/>
            <w:vAlign w:val="center"/>
          </w:tcPr>
          <w:p w:rsidR="00DF167D" w:rsidRPr="00AA77C7" w:rsidRDefault="00DF167D" w:rsidP="009536F9">
            <w:pPr>
              <w:spacing w:before="20" w:after="20"/>
              <w:jc w:val="right"/>
              <w:rPr>
                <w:b/>
                <w:noProof/>
                <w:sz w:val="20"/>
                <w:szCs w:val="20"/>
              </w:rPr>
            </w:pPr>
            <w:r w:rsidRPr="00AA77C7">
              <w:rPr>
                <w:b/>
                <w:noProof/>
                <w:sz w:val="20"/>
              </w:rPr>
              <w:t>249,042</w:t>
            </w:r>
          </w:p>
        </w:tc>
        <w:tc>
          <w:tcPr>
            <w:tcW w:w="895" w:type="dxa"/>
            <w:vAlign w:val="center"/>
          </w:tcPr>
          <w:p w:rsidR="00DF167D" w:rsidRPr="00AA77C7" w:rsidRDefault="00DF167D" w:rsidP="009536F9">
            <w:pPr>
              <w:spacing w:before="20" w:after="20"/>
              <w:jc w:val="right"/>
              <w:rPr>
                <w:b/>
                <w:noProof/>
                <w:sz w:val="20"/>
                <w:szCs w:val="20"/>
              </w:rPr>
            </w:pPr>
            <w:r w:rsidRPr="00AA77C7">
              <w:rPr>
                <w:b/>
                <w:noProof/>
                <w:sz w:val="20"/>
              </w:rPr>
              <w:t>254,023</w:t>
            </w:r>
          </w:p>
        </w:tc>
        <w:tc>
          <w:tcPr>
            <w:tcW w:w="868" w:type="dxa"/>
            <w:vAlign w:val="center"/>
          </w:tcPr>
          <w:p w:rsidR="00DF167D" w:rsidRPr="00AA77C7" w:rsidRDefault="00DF167D" w:rsidP="009536F9">
            <w:pPr>
              <w:spacing w:before="20" w:after="20"/>
              <w:jc w:val="right"/>
              <w:rPr>
                <w:b/>
                <w:noProof/>
                <w:sz w:val="20"/>
                <w:szCs w:val="20"/>
              </w:rPr>
            </w:pPr>
            <w:r w:rsidRPr="00AA77C7">
              <w:rPr>
                <w:b/>
                <w:noProof/>
                <w:sz w:val="20"/>
              </w:rPr>
              <w:t>259,103</w:t>
            </w:r>
          </w:p>
        </w:tc>
        <w:tc>
          <w:tcPr>
            <w:tcW w:w="868" w:type="dxa"/>
            <w:vAlign w:val="center"/>
          </w:tcPr>
          <w:p w:rsidR="00DF167D" w:rsidRPr="00AA77C7" w:rsidRDefault="00DF167D" w:rsidP="009536F9">
            <w:pPr>
              <w:spacing w:before="20" w:after="20"/>
              <w:jc w:val="right"/>
              <w:rPr>
                <w:b/>
                <w:noProof/>
                <w:sz w:val="20"/>
                <w:szCs w:val="20"/>
              </w:rPr>
            </w:pPr>
            <w:r w:rsidRPr="00AA77C7">
              <w:rPr>
                <w:b/>
                <w:noProof/>
                <w:sz w:val="20"/>
              </w:rPr>
              <w:t>264,286</w:t>
            </w:r>
          </w:p>
        </w:tc>
        <w:tc>
          <w:tcPr>
            <w:tcW w:w="868" w:type="dxa"/>
            <w:vAlign w:val="center"/>
          </w:tcPr>
          <w:p w:rsidR="00DF167D" w:rsidRPr="00AA77C7" w:rsidRDefault="00DF167D" w:rsidP="009536F9">
            <w:pPr>
              <w:spacing w:before="20" w:after="20"/>
              <w:jc w:val="right"/>
              <w:rPr>
                <w:b/>
                <w:noProof/>
                <w:sz w:val="20"/>
                <w:szCs w:val="20"/>
              </w:rPr>
            </w:pPr>
            <w:r w:rsidRPr="00AA77C7">
              <w:rPr>
                <w:b/>
                <w:noProof/>
                <w:sz w:val="20"/>
              </w:rPr>
              <w:t>269,571</w:t>
            </w:r>
          </w:p>
        </w:tc>
        <w:tc>
          <w:tcPr>
            <w:tcW w:w="868" w:type="dxa"/>
            <w:vAlign w:val="center"/>
          </w:tcPr>
          <w:p w:rsidR="00DF167D" w:rsidRPr="00AA77C7" w:rsidRDefault="00DF167D" w:rsidP="009536F9">
            <w:pPr>
              <w:spacing w:before="20" w:after="20"/>
              <w:jc w:val="right"/>
              <w:rPr>
                <w:b/>
                <w:noProof/>
                <w:sz w:val="20"/>
                <w:szCs w:val="20"/>
              </w:rPr>
            </w:pPr>
            <w:r w:rsidRPr="00AA77C7">
              <w:rPr>
                <w:b/>
                <w:noProof/>
                <w:sz w:val="20"/>
              </w:rPr>
              <w:t>274,963</w:t>
            </w:r>
          </w:p>
        </w:tc>
        <w:tc>
          <w:tcPr>
            <w:tcW w:w="868" w:type="dxa"/>
            <w:vAlign w:val="center"/>
          </w:tcPr>
          <w:p w:rsidR="00DF167D" w:rsidRPr="00AA77C7" w:rsidRDefault="00DF167D" w:rsidP="009536F9">
            <w:pPr>
              <w:spacing w:before="20" w:after="20"/>
              <w:jc w:val="right"/>
              <w:rPr>
                <w:b/>
                <w:noProof/>
                <w:sz w:val="20"/>
                <w:szCs w:val="20"/>
              </w:rPr>
            </w:pPr>
            <w:r w:rsidRPr="00AA77C7">
              <w:rPr>
                <w:b/>
                <w:noProof/>
                <w:sz w:val="20"/>
              </w:rPr>
              <w:t>279,012</w:t>
            </w:r>
          </w:p>
        </w:tc>
        <w:tc>
          <w:tcPr>
            <w:tcW w:w="1002" w:type="dxa"/>
            <w:shd w:val="clear" w:color="auto" w:fill="A6A6A6" w:themeFill="background1" w:themeFillShade="A6"/>
          </w:tcPr>
          <w:p w:rsidR="00DF167D" w:rsidRPr="00AA77C7" w:rsidRDefault="00DF167D" w:rsidP="009536F9">
            <w:pPr>
              <w:spacing w:before="20" w:after="20"/>
              <w:jc w:val="right"/>
              <w:rPr>
                <w:b/>
                <w:noProof/>
                <w:sz w:val="20"/>
                <w:szCs w:val="20"/>
              </w:rPr>
            </w:pPr>
          </w:p>
        </w:tc>
        <w:tc>
          <w:tcPr>
            <w:tcW w:w="1196" w:type="dxa"/>
            <w:gridSpan w:val="2"/>
            <w:vAlign w:val="center"/>
          </w:tcPr>
          <w:p w:rsidR="00DF167D" w:rsidRPr="00AA77C7" w:rsidRDefault="00DF167D" w:rsidP="009536F9">
            <w:pPr>
              <w:spacing w:before="20" w:after="20"/>
              <w:jc w:val="right"/>
              <w:rPr>
                <w:b/>
                <w:noProof/>
                <w:sz w:val="20"/>
                <w:szCs w:val="20"/>
              </w:rPr>
            </w:pPr>
            <w:r w:rsidRPr="00AA77C7">
              <w:rPr>
                <w:b/>
                <w:noProof/>
                <w:sz w:val="20"/>
              </w:rPr>
              <w:t>1 850,000</w:t>
            </w:r>
          </w:p>
        </w:tc>
      </w:tr>
      <w:tr w:rsidR="00DF167D" w:rsidRPr="00AA77C7" w:rsidTr="009536F9">
        <w:trPr>
          <w:jc w:val="center"/>
        </w:trPr>
        <w:tc>
          <w:tcPr>
            <w:tcW w:w="3920" w:type="dxa"/>
            <w:vMerge/>
          </w:tcPr>
          <w:p w:rsidR="00DF167D" w:rsidRPr="00AA77C7" w:rsidRDefault="00DF167D" w:rsidP="009536F9">
            <w:pPr>
              <w:rPr>
                <w:noProof/>
                <w:sz w:val="20"/>
              </w:rPr>
            </w:pPr>
          </w:p>
        </w:tc>
        <w:tc>
          <w:tcPr>
            <w:tcW w:w="1417" w:type="dxa"/>
            <w:gridSpan w:val="2"/>
            <w:vAlign w:val="center"/>
          </w:tcPr>
          <w:p w:rsidR="00DF167D" w:rsidRPr="00AA77C7" w:rsidRDefault="00DF167D" w:rsidP="009536F9">
            <w:pPr>
              <w:jc w:val="left"/>
              <w:rPr>
                <w:b/>
                <w:noProof/>
                <w:sz w:val="18"/>
              </w:rPr>
            </w:pPr>
            <w:r w:rsidRPr="00AA77C7">
              <w:rPr>
                <w:b/>
                <w:noProof/>
                <w:sz w:val="18"/>
              </w:rPr>
              <w:t>Platby</w:t>
            </w:r>
          </w:p>
        </w:tc>
        <w:tc>
          <w:tcPr>
            <w:tcW w:w="709" w:type="dxa"/>
            <w:gridSpan w:val="2"/>
            <w:vAlign w:val="center"/>
          </w:tcPr>
          <w:p w:rsidR="00DF167D" w:rsidRPr="00AA77C7" w:rsidRDefault="00DF167D" w:rsidP="009536F9">
            <w:pPr>
              <w:jc w:val="center"/>
              <w:rPr>
                <w:b/>
                <w:noProof/>
                <w:sz w:val="14"/>
              </w:rPr>
            </w:pPr>
            <w:r w:rsidRPr="00AA77C7">
              <w:rPr>
                <w:b/>
                <w:noProof/>
                <w:sz w:val="14"/>
              </w:rPr>
              <w:t>=2+3</w:t>
            </w:r>
          </w:p>
        </w:tc>
        <w:tc>
          <w:tcPr>
            <w:tcW w:w="992" w:type="dxa"/>
            <w:vAlign w:val="center"/>
          </w:tcPr>
          <w:p w:rsidR="00DF167D" w:rsidRPr="00AA77C7" w:rsidRDefault="00DF167D" w:rsidP="009536F9">
            <w:pPr>
              <w:spacing w:before="20" w:after="20"/>
              <w:jc w:val="right"/>
              <w:rPr>
                <w:b/>
                <w:noProof/>
                <w:sz w:val="20"/>
                <w:szCs w:val="20"/>
              </w:rPr>
            </w:pPr>
            <w:r w:rsidRPr="00AA77C7">
              <w:rPr>
                <w:b/>
                <w:noProof/>
                <w:sz w:val="20"/>
              </w:rPr>
              <w:t>141,448</w:t>
            </w:r>
          </w:p>
        </w:tc>
        <w:tc>
          <w:tcPr>
            <w:tcW w:w="895" w:type="dxa"/>
            <w:vAlign w:val="center"/>
          </w:tcPr>
          <w:p w:rsidR="00DF167D" w:rsidRPr="00AA77C7" w:rsidRDefault="00DF167D" w:rsidP="009536F9">
            <w:pPr>
              <w:spacing w:before="20" w:after="20"/>
              <w:jc w:val="right"/>
              <w:rPr>
                <w:b/>
                <w:noProof/>
                <w:sz w:val="20"/>
                <w:szCs w:val="20"/>
              </w:rPr>
            </w:pPr>
            <w:r w:rsidRPr="00AA77C7">
              <w:rPr>
                <w:b/>
                <w:noProof/>
                <w:sz w:val="20"/>
              </w:rPr>
              <w:t>182,852</w:t>
            </w:r>
          </w:p>
        </w:tc>
        <w:tc>
          <w:tcPr>
            <w:tcW w:w="868" w:type="dxa"/>
            <w:vAlign w:val="center"/>
          </w:tcPr>
          <w:p w:rsidR="00DF167D" w:rsidRPr="00AA77C7" w:rsidRDefault="00DF167D" w:rsidP="009536F9">
            <w:pPr>
              <w:spacing w:before="20" w:after="20"/>
              <w:jc w:val="right"/>
              <w:rPr>
                <w:b/>
                <w:noProof/>
                <w:sz w:val="20"/>
                <w:szCs w:val="20"/>
              </w:rPr>
            </w:pPr>
            <w:r w:rsidRPr="00AA77C7">
              <w:rPr>
                <w:b/>
                <w:noProof/>
                <w:sz w:val="20"/>
              </w:rPr>
              <w:t>225,767</w:t>
            </w:r>
          </w:p>
        </w:tc>
        <w:tc>
          <w:tcPr>
            <w:tcW w:w="868" w:type="dxa"/>
            <w:vAlign w:val="center"/>
          </w:tcPr>
          <w:p w:rsidR="00DF167D" w:rsidRPr="00AA77C7" w:rsidRDefault="00DF167D" w:rsidP="009536F9">
            <w:pPr>
              <w:spacing w:before="20" w:after="20"/>
              <w:jc w:val="right"/>
              <w:rPr>
                <w:b/>
                <w:noProof/>
                <w:sz w:val="20"/>
                <w:szCs w:val="20"/>
              </w:rPr>
            </w:pPr>
            <w:r w:rsidRPr="00AA77C7">
              <w:rPr>
                <w:b/>
                <w:noProof/>
                <w:sz w:val="20"/>
              </w:rPr>
              <w:t>240,465</w:t>
            </w:r>
          </w:p>
        </w:tc>
        <w:tc>
          <w:tcPr>
            <w:tcW w:w="868" w:type="dxa"/>
            <w:vAlign w:val="center"/>
          </w:tcPr>
          <w:p w:rsidR="00DF167D" w:rsidRPr="00AA77C7" w:rsidRDefault="00DF167D" w:rsidP="009536F9">
            <w:pPr>
              <w:spacing w:before="20" w:after="20"/>
              <w:jc w:val="right"/>
              <w:rPr>
                <w:b/>
                <w:noProof/>
                <w:sz w:val="20"/>
                <w:szCs w:val="20"/>
              </w:rPr>
            </w:pPr>
            <w:r w:rsidRPr="00AA77C7">
              <w:rPr>
                <w:b/>
                <w:noProof/>
                <w:sz w:val="20"/>
              </w:rPr>
              <w:t>248,504</w:t>
            </w:r>
          </w:p>
        </w:tc>
        <w:tc>
          <w:tcPr>
            <w:tcW w:w="868" w:type="dxa"/>
            <w:vAlign w:val="center"/>
          </w:tcPr>
          <w:p w:rsidR="00DF167D" w:rsidRPr="00AA77C7" w:rsidRDefault="00DF167D" w:rsidP="009536F9">
            <w:pPr>
              <w:spacing w:before="20" w:after="20"/>
              <w:jc w:val="right"/>
              <w:rPr>
                <w:b/>
                <w:noProof/>
                <w:sz w:val="20"/>
                <w:szCs w:val="20"/>
              </w:rPr>
            </w:pPr>
            <w:r w:rsidRPr="00AA77C7">
              <w:rPr>
                <w:b/>
                <w:noProof/>
                <w:sz w:val="20"/>
              </w:rPr>
              <w:t>255,522</w:t>
            </w:r>
          </w:p>
        </w:tc>
        <w:tc>
          <w:tcPr>
            <w:tcW w:w="868" w:type="dxa"/>
            <w:vAlign w:val="center"/>
          </w:tcPr>
          <w:p w:rsidR="00DF167D" w:rsidRPr="00AA77C7" w:rsidRDefault="00DF167D" w:rsidP="009536F9">
            <w:pPr>
              <w:spacing w:before="20" w:after="20"/>
              <w:jc w:val="right"/>
              <w:rPr>
                <w:b/>
                <w:noProof/>
                <w:sz w:val="20"/>
                <w:szCs w:val="20"/>
              </w:rPr>
            </w:pPr>
            <w:r w:rsidRPr="00AA77C7">
              <w:rPr>
                <w:b/>
                <w:noProof/>
                <w:sz w:val="20"/>
              </w:rPr>
              <w:t>260,963</w:t>
            </w:r>
          </w:p>
        </w:tc>
        <w:tc>
          <w:tcPr>
            <w:tcW w:w="1002" w:type="dxa"/>
            <w:vAlign w:val="center"/>
          </w:tcPr>
          <w:p w:rsidR="00DF167D" w:rsidRPr="00AA77C7" w:rsidRDefault="00DF167D" w:rsidP="009536F9">
            <w:pPr>
              <w:spacing w:before="20" w:after="20"/>
              <w:jc w:val="center"/>
              <w:rPr>
                <w:b/>
                <w:i/>
                <w:sz w:val="20"/>
              </w:rPr>
            </w:pPr>
            <w:r w:rsidRPr="00AA77C7">
              <w:rPr>
                <w:b/>
                <w:i/>
                <w:noProof/>
                <w:sz w:val="20"/>
              </w:rPr>
              <w:t>294,479</w:t>
            </w:r>
          </w:p>
        </w:tc>
        <w:tc>
          <w:tcPr>
            <w:tcW w:w="1196" w:type="dxa"/>
            <w:gridSpan w:val="2"/>
            <w:vAlign w:val="center"/>
          </w:tcPr>
          <w:p w:rsidR="00DF167D" w:rsidRPr="00AA77C7" w:rsidRDefault="00DF167D" w:rsidP="009536F9">
            <w:pPr>
              <w:spacing w:before="20" w:after="20"/>
              <w:jc w:val="right"/>
              <w:rPr>
                <w:b/>
                <w:noProof/>
                <w:sz w:val="20"/>
                <w:szCs w:val="20"/>
              </w:rPr>
            </w:pPr>
            <w:r w:rsidRPr="00AA77C7">
              <w:rPr>
                <w:b/>
                <w:noProof/>
                <w:sz w:val="20"/>
              </w:rPr>
              <w:t>1 850,000</w:t>
            </w:r>
          </w:p>
        </w:tc>
      </w:tr>
    </w:tbl>
    <w:p w:rsidR="00DF167D" w:rsidRPr="00AA77C7" w:rsidRDefault="00DF167D" w:rsidP="00DF167D">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CB55E2" w:rsidRPr="00AA77C7" w:rsidTr="005D43D3">
        <w:trPr>
          <w:jc w:val="center"/>
        </w:trPr>
        <w:tc>
          <w:tcPr>
            <w:tcW w:w="4744" w:type="dxa"/>
            <w:shd w:val="thinDiagStripe" w:color="C0C0C0" w:fill="auto"/>
            <w:vAlign w:val="center"/>
          </w:tcPr>
          <w:p w:rsidR="00DF167D" w:rsidRPr="00AA77C7" w:rsidRDefault="00DF167D" w:rsidP="009536F9">
            <w:pPr>
              <w:spacing w:before="60" w:after="60"/>
              <w:jc w:val="center"/>
              <w:rPr>
                <w:b/>
                <w:noProof/>
              </w:rPr>
            </w:pPr>
            <w:r w:rsidRPr="00AA77C7">
              <w:lastRenderedPageBreak/>
              <w:br w:type="page"/>
            </w:r>
            <w:r w:rsidRPr="00AA77C7">
              <w:rPr>
                <w:b/>
                <w:noProof/>
                <w:sz w:val="22"/>
              </w:rPr>
              <w:t>Okruh víceletého finančního</w:t>
            </w:r>
            <w:r w:rsidRPr="00AA77C7">
              <w:rPr>
                <w:noProof/>
                <w:sz w:val="22"/>
              </w:rPr>
              <w:br/>
            </w:r>
            <w:r w:rsidRPr="00AA77C7">
              <w:rPr>
                <w:b/>
                <w:noProof/>
                <w:sz w:val="22"/>
              </w:rPr>
              <w:t xml:space="preserve">rámce </w:t>
            </w:r>
          </w:p>
        </w:tc>
        <w:tc>
          <w:tcPr>
            <w:tcW w:w="1080" w:type="dxa"/>
            <w:shd w:val="thinDiagStripe" w:color="C0C0C0" w:fill="auto"/>
            <w:vAlign w:val="center"/>
          </w:tcPr>
          <w:p w:rsidR="00DF167D" w:rsidRPr="00AA77C7" w:rsidRDefault="00DF167D" w:rsidP="009536F9">
            <w:pPr>
              <w:spacing w:before="60" w:after="60"/>
              <w:jc w:val="center"/>
              <w:rPr>
                <w:noProof/>
              </w:rPr>
            </w:pPr>
            <w:r w:rsidRPr="00AA77C7">
              <w:t>7</w:t>
            </w:r>
          </w:p>
        </w:tc>
        <w:tc>
          <w:tcPr>
            <w:tcW w:w="7817" w:type="dxa"/>
            <w:shd w:val="clear" w:color="auto" w:fill="auto"/>
            <w:vAlign w:val="center"/>
          </w:tcPr>
          <w:p w:rsidR="00DF167D" w:rsidRPr="00AA77C7" w:rsidRDefault="00DF167D" w:rsidP="009536F9">
            <w:pPr>
              <w:spacing w:before="60" w:after="60"/>
              <w:rPr>
                <w:noProof/>
              </w:rPr>
            </w:pPr>
            <w:r w:rsidRPr="00AA77C7">
              <w:rPr>
                <w:noProof/>
                <w:sz w:val="22"/>
              </w:rPr>
              <w:t>„Správní výdaje“</w:t>
            </w:r>
          </w:p>
        </w:tc>
      </w:tr>
    </w:tbl>
    <w:p w:rsidR="00DF167D" w:rsidRPr="00AA77C7" w:rsidRDefault="00DF167D" w:rsidP="00DF167D">
      <w:pPr>
        <w:jc w:val="left"/>
        <w:rPr>
          <w:noProof/>
        </w:rPr>
      </w:pPr>
      <w:r w:rsidRPr="00AA77C7">
        <w:t xml:space="preserve">Tento oddíl se vyplní pomocí „rozpočtových údajů správní povahy“, jež se nejprve uvedou v </w:t>
      </w:r>
      <w:hyperlink r:id="rId27">
        <w:r w:rsidRPr="00AA77C7">
          <w:rPr>
            <w:rStyle w:val="Hypertextovodkaz"/>
            <w:noProof/>
            <w:color w:val="auto"/>
          </w:rPr>
          <w:t>příloze legislativního finančního výkazu</w:t>
        </w:r>
      </w:hyperlink>
      <w:r w:rsidRPr="00AA77C7">
        <w:t>, která se pro účely konzultace mezi útvary vloží do aplikace DECIDE.</w:t>
      </w:r>
    </w:p>
    <w:p w:rsidR="00DF167D" w:rsidRPr="00AA77C7" w:rsidRDefault="00DF167D" w:rsidP="00DF167D">
      <w:pPr>
        <w:jc w:val="right"/>
        <w:rPr>
          <w:noProof/>
          <w:sz w:val="20"/>
        </w:rPr>
      </w:pPr>
      <w:r w:rsidRPr="00AA77C7">
        <w:rPr>
          <w:noProof/>
          <w:sz w:val="20"/>
        </w:rPr>
        <w:t>v milionech EUR (zaokrouhleno na tři desetinná místa)</w:t>
      </w: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2046"/>
        <w:gridCol w:w="868"/>
        <w:gridCol w:w="868"/>
        <w:gridCol w:w="868"/>
        <w:gridCol w:w="868"/>
        <w:gridCol w:w="868"/>
        <w:gridCol w:w="868"/>
        <w:gridCol w:w="868"/>
        <w:gridCol w:w="1110"/>
        <w:gridCol w:w="1068"/>
      </w:tblGrid>
      <w:tr w:rsidR="00CB55E2" w:rsidRPr="00AA77C7" w:rsidTr="005D43D3">
        <w:trPr>
          <w:jc w:val="center"/>
        </w:trPr>
        <w:tc>
          <w:tcPr>
            <w:tcW w:w="6245" w:type="dxa"/>
            <w:gridSpan w:val="2"/>
            <w:tcBorders>
              <w:top w:val="nil"/>
              <w:left w:val="nil"/>
            </w:tcBorders>
            <w:vAlign w:val="center"/>
          </w:tcPr>
          <w:p w:rsidR="00DF167D" w:rsidRPr="00AA77C7" w:rsidRDefault="00DF167D" w:rsidP="009536F9">
            <w:pPr>
              <w:jc w:val="center"/>
              <w:rPr>
                <w:noProof/>
                <w:sz w:val="20"/>
              </w:rPr>
            </w:pPr>
          </w:p>
        </w:tc>
        <w:tc>
          <w:tcPr>
            <w:tcW w:w="868" w:type="dxa"/>
            <w:vAlign w:val="center"/>
          </w:tcPr>
          <w:p w:rsidR="00DF167D" w:rsidRPr="00AA77C7" w:rsidRDefault="00DF167D" w:rsidP="009536F9">
            <w:pPr>
              <w:jc w:val="center"/>
              <w:rPr>
                <w:b/>
                <w:noProof/>
                <w:sz w:val="20"/>
              </w:rPr>
            </w:pPr>
            <w:r w:rsidRPr="00AA77C7">
              <w:rPr>
                <w:b/>
                <w:noProof/>
                <w:sz w:val="20"/>
              </w:rPr>
              <w:t>2021</w:t>
            </w:r>
          </w:p>
        </w:tc>
        <w:tc>
          <w:tcPr>
            <w:tcW w:w="868" w:type="dxa"/>
            <w:vAlign w:val="center"/>
          </w:tcPr>
          <w:p w:rsidR="00DF167D" w:rsidRPr="00AA77C7" w:rsidRDefault="00DF167D" w:rsidP="009536F9">
            <w:pPr>
              <w:jc w:val="center"/>
              <w:rPr>
                <w:b/>
                <w:noProof/>
                <w:sz w:val="20"/>
              </w:rPr>
            </w:pPr>
            <w:r w:rsidRPr="00AA77C7">
              <w:rPr>
                <w:b/>
                <w:noProof/>
                <w:sz w:val="20"/>
              </w:rPr>
              <w:t>2022</w:t>
            </w:r>
          </w:p>
        </w:tc>
        <w:tc>
          <w:tcPr>
            <w:tcW w:w="868" w:type="dxa"/>
            <w:vAlign w:val="center"/>
          </w:tcPr>
          <w:p w:rsidR="00DF167D" w:rsidRPr="00AA77C7" w:rsidRDefault="00DF167D" w:rsidP="009536F9">
            <w:pPr>
              <w:jc w:val="center"/>
              <w:rPr>
                <w:b/>
                <w:noProof/>
                <w:sz w:val="20"/>
              </w:rPr>
            </w:pPr>
            <w:r w:rsidRPr="00AA77C7">
              <w:rPr>
                <w:b/>
                <w:noProof/>
                <w:sz w:val="20"/>
              </w:rPr>
              <w:t>2023</w:t>
            </w:r>
          </w:p>
        </w:tc>
        <w:tc>
          <w:tcPr>
            <w:tcW w:w="868" w:type="dxa"/>
            <w:vAlign w:val="center"/>
          </w:tcPr>
          <w:p w:rsidR="00DF167D" w:rsidRPr="00AA77C7" w:rsidRDefault="00DF167D" w:rsidP="009536F9">
            <w:pPr>
              <w:jc w:val="center"/>
              <w:rPr>
                <w:b/>
                <w:noProof/>
                <w:sz w:val="20"/>
              </w:rPr>
            </w:pPr>
            <w:r w:rsidRPr="00AA77C7">
              <w:rPr>
                <w:b/>
                <w:noProof/>
                <w:sz w:val="20"/>
              </w:rPr>
              <w:t>2024</w:t>
            </w:r>
          </w:p>
        </w:tc>
        <w:tc>
          <w:tcPr>
            <w:tcW w:w="868" w:type="dxa"/>
            <w:vAlign w:val="center"/>
          </w:tcPr>
          <w:p w:rsidR="00DF167D" w:rsidRPr="00AA77C7" w:rsidRDefault="00DF167D" w:rsidP="009536F9">
            <w:pPr>
              <w:jc w:val="center"/>
              <w:rPr>
                <w:b/>
                <w:noProof/>
                <w:sz w:val="18"/>
              </w:rPr>
            </w:pPr>
            <w:r w:rsidRPr="00AA77C7">
              <w:rPr>
                <w:b/>
                <w:noProof/>
                <w:sz w:val="18"/>
              </w:rPr>
              <w:t>2025</w:t>
            </w:r>
          </w:p>
        </w:tc>
        <w:tc>
          <w:tcPr>
            <w:tcW w:w="868" w:type="dxa"/>
            <w:vAlign w:val="center"/>
          </w:tcPr>
          <w:p w:rsidR="00DF167D" w:rsidRPr="00AA77C7" w:rsidRDefault="00DF167D" w:rsidP="009536F9">
            <w:pPr>
              <w:jc w:val="center"/>
              <w:rPr>
                <w:b/>
                <w:noProof/>
                <w:sz w:val="18"/>
              </w:rPr>
            </w:pPr>
            <w:r w:rsidRPr="00AA77C7">
              <w:rPr>
                <w:b/>
                <w:noProof/>
                <w:sz w:val="18"/>
              </w:rPr>
              <w:t>2026</w:t>
            </w:r>
          </w:p>
        </w:tc>
        <w:tc>
          <w:tcPr>
            <w:tcW w:w="868" w:type="dxa"/>
            <w:vAlign w:val="center"/>
          </w:tcPr>
          <w:p w:rsidR="00DF167D" w:rsidRPr="00AA77C7" w:rsidRDefault="00DF167D" w:rsidP="009536F9">
            <w:pPr>
              <w:jc w:val="center"/>
              <w:rPr>
                <w:b/>
                <w:noProof/>
                <w:sz w:val="18"/>
              </w:rPr>
            </w:pPr>
            <w:r w:rsidRPr="00AA77C7">
              <w:rPr>
                <w:b/>
                <w:noProof/>
                <w:sz w:val="18"/>
              </w:rPr>
              <w:t>2027</w:t>
            </w:r>
          </w:p>
        </w:tc>
        <w:tc>
          <w:tcPr>
            <w:tcW w:w="1110" w:type="dxa"/>
          </w:tcPr>
          <w:p w:rsidR="00DF167D" w:rsidRPr="00AA77C7" w:rsidRDefault="00DF167D" w:rsidP="009536F9">
            <w:pPr>
              <w:jc w:val="center"/>
              <w:rPr>
                <w:b/>
                <w:noProof/>
                <w:sz w:val="20"/>
              </w:rPr>
            </w:pPr>
            <w:r w:rsidRPr="00AA77C7">
              <w:rPr>
                <w:b/>
                <w:i/>
                <w:noProof/>
                <w:sz w:val="20"/>
              </w:rPr>
              <w:t>Po roce 2027</w:t>
            </w:r>
          </w:p>
        </w:tc>
        <w:tc>
          <w:tcPr>
            <w:tcW w:w="1068" w:type="dxa"/>
            <w:vAlign w:val="center"/>
          </w:tcPr>
          <w:p w:rsidR="00DF167D" w:rsidRPr="00AA77C7" w:rsidRDefault="00DF167D" w:rsidP="009536F9">
            <w:pPr>
              <w:jc w:val="center"/>
              <w:rPr>
                <w:b/>
                <w:noProof/>
                <w:sz w:val="20"/>
              </w:rPr>
            </w:pPr>
            <w:r w:rsidRPr="00AA77C7">
              <w:rPr>
                <w:b/>
                <w:noProof/>
                <w:sz w:val="20"/>
              </w:rPr>
              <w:t>CELKEM</w:t>
            </w:r>
          </w:p>
        </w:tc>
      </w:tr>
      <w:tr w:rsidR="00CB55E2" w:rsidRPr="00AA77C7" w:rsidTr="009536F9">
        <w:trPr>
          <w:trHeight w:val="313"/>
          <w:jc w:val="center"/>
        </w:trPr>
        <w:tc>
          <w:tcPr>
            <w:tcW w:w="6245" w:type="dxa"/>
            <w:gridSpan w:val="2"/>
            <w:vAlign w:val="center"/>
          </w:tcPr>
          <w:p w:rsidR="008654F8" w:rsidRPr="00AA77C7" w:rsidRDefault="008654F8" w:rsidP="009536F9">
            <w:pPr>
              <w:spacing w:before="20" w:after="20"/>
              <w:rPr>
                <w:noProof/>
              </w:rPr>
            </w:pPr>
            <w:r w:rsidRPr="00AA77C7">
              <w:rPr>
                <w:noProof/>
                <w:sz w:val="22"/>
              </w:rPr>
              <w:t>Lidské zdroje</w:t>
            </w:r>
            <w:r w:rsidRPr="00AA77C7">
              <w:rPr>
                <w:rStyle w:val="Znakapoznpodarou"/>
                <w:noProof/>
                <w:sz w:val="22"/>
              </w:rPr>
              <w:footnoteReference w:id="39"/>
            </w:r>
            <w:r w:rsidRPr="00AA77C7">
              <w:rPr>
                <w:noProof/>
                <w:sz w:val="22"/>
              </w:rPr>
              <w:t xml:space="preserve"> </w:t>
            </w:r>
          </w:p>
        </w:tc>
        <w:tc>
          <w:tcPr>
            <w:tcW w:w="868" w:type="dxa"/>
            <w:shd w:val="clear" w:color="auto" w:fill="auto"/>
            <w:vAlign w:val="center"/>
          </w:tcPr>
          <w:p w:rsidR="008654F8" w:rsidRPr="00AA77C7" w:rsidRDefault="008654F8" w:rsidP="009536F9">
            <w:pPr>
              <w:spacing w:before="20" w:after="20"/>
              <w:jc w:val="right"/>
              <w:rPr>
                <w:noProof/>
                <w:sz w:val="20"/>
              </w:rPr>
            </w:pPr>
            <w:r w:rsidRPr="00AA77C7">
              <w:rPr>
                <w:noProof/>
                <w:sz w:val="20"/>
              </w:rPr>
              <w:t>14,301</w:t>
            </w:r>
          </w:p>
        </w:tc>
        <w:tc>
          <w:tcPr>
            <w:tcW w:w="868" w:type="dxa"/>
            <w:shd w:val="clear" w:color="auto" w:fill="auto"/>
            <w:vAlign w:val="center"/>
          </w:tcPr>
          <w:p w:rsidR="008654F8" w:rsidRPr="00AA77C7" w:rsidRDefault="008654F8" w:rsidP="009536F9">
            <w:pPr>
              <w:spacing w:before="20" w:after="20"/>
              <w:jc w:val="right"/>
              <w:rPr>
                <w:noProof/>
                <w:sz w:val="20"/>
              </w:rPr>
            </w:pPr>
            <w:r w:rsidRPr="00AA77C7">
              <w:rPr>
                <w:noProof/>
                <w:sz w:val="20"/>
              </w:rPr>
              <w:t>15,601</w:t>
            </w:r>
          </w:p>
        </w:tc>
        <w:tc>
          <w:tcPr>
            <w:tcW w:w="868" w:type="dxa"/>
            <w:shd w:val="clear" w:color="auto" w:fill="auto"/>
            <w:vAlign w:val="center"/>
          </w:tcPr>
          <w:p w:rsidR="008654F8" w:rsidRPr="00AA77C7" w:rsidRDefault="008654F8" w:rsidP="009536F9">
            <w:pPr>
              <w:spacing w:before="20" w:after="20"/>
              <w:jc w:val="right"/>
              <w:rPr>
                <w:noProof/>
                <w:sz w:val="20"/>
              </w:rPr>
            </w:pPr>
            <w:r w:rsidRPr="00AA77C7">
              <w:rPr>
                <w:noProof/>
                <w:sz w:val="20"/>
              </w:rPr>
              <w:t>16,745</w:t>
            </w:r>
          </w:p>
        </w:tc>
        <w:tc>
          <w:tcPr>
            <w:tcW w:w="868" w:type="dxa"/>
            <w:shd w:val="clear" w:color="auto" w:fill="auto"/>
            <w:vAlign w:val="center"/>
          </w:tcPr>
          <w:p w:rsidR="008654F8" w:rsidRPr="00AA77C7" w:rsidRDefault="008654F8" w:rsidP="009536F9">
            <w:pPr>
              <w:spacing w:before="20" w:after="20"/>
              <w:jc w:val="right"/>
              <w:rPr>
                <w:noProof/>
                <w:sz w:val="20"/>
              </w:rPr>
            </w:pPr>
            <w:r w:rsidRPr="00AA77C7">
              <w:rPr>
                <w:noProof/>
                <w:sz w:val="20"/>
              </w:rPr>
              <w:t>16,745</w:t>
            </w:r>
          </w:p>
        </w:tc>
        <w:tc>
          <w:tcPr>
            <w:tcW w:w="868" w:type="dxa"/>
            <w:shd w:val="clear" w:color="auto" w:fill="auto"/>
            <w:vAlign w:val="center"/>
          </w:tcPr>
          <w:p w:rsidR="008654F8" w:rsidRPr="00AA77C7" w:rsidRDefault="008654F8" w:rsidP="009536F9">
            <w:pPr>
              <w:spacing w:before="20" w:after="20"/>
              <w:jc w:val="right"/>
              <w:rPr>
                <w:noProof/>
                <w:sz w:val="20"/>
              </w:rPr>
            </w:pPr>
            <w:r w:rsidRPr="00AA77C7">
              <w:rPr>
                <w:noProof/>
                <w:sz w:val="20"/>
              </w:rPr>
              <w:t>16,745</w:t>
            </w:r>
          </w:p>
        </w:tc>
        <w:tc>
          <w:tcPr>
            <w:tcW w:w="868" w:type="dxa"/>
            <w:shd w:val="clear" w:color="auto" w:fill="auto"/>
            <w:vAlign w:val="center"/>
          </w:tcPr>
          <w:p w:rsidR="008654F8" w:rsidRPr="00AA77C7" w:rsidRDefault="008654F8" w:rsidP="009536F9">
            <w:pPr>
              <w:spacing w:before="20" w:after="20"/>
              <w:jc w:val="right"/>
              <w:rPr>
                <w:noProof/>
                <w:sz w:val="20"/>
              </w:rPr>
            </w:pPr>
            <w:r w:rsidRPr="00AA77C7">
              <w:rPr>
                <w:noProof/>
                <w:sz w:val="20"/>
              </w:rPr>
              <w:t>16,745</w:t>
            </w:r>
          </w:p>
        </w:tc>
        <w:tc>
          <w:tcPr>
            <w:tcW w:w="868" w:type="dxa"/>
            <w:shd w:val="clear" w:color="auto" w:fill="auto"/>
            <w:vAlign w:val="center"/>
          </w:tcPr>
          <w:p w:rsidR="008654F8" w:rsidRPr="00AA77C7" w:rsidRDefault="008654F8" w:rsidP="009536F9">
            <w:pPr>
              <w:spacing w:before="20" w:after="20"/>
              <w:jc w:val="right"/>
              <w:rPr>
                <w:sz w:val="20"/>
              </w:rPr>
            </w:pPr>
            <w:r w:rsidRPr="00AA77C7">
              <w:rPr>
                <w:noProof/>
                <w:sz w:val="20"/>
              </w:rPr>
              <w:t>16,745</w:t>
            </w:r>
          </w:p>
        </w:tc>
        <w:tc>
          <w:tcPr>
            <w:tcW w:w="1110" w:type="dxa"/>
            <w:shd w:val="clear" w:color="auto" w:fill="A6A6A6" w:themeFill="background1" w:themeFillShade="A6"/>
          </w:tcPr>
          <w:p w:rsidR="008654F8" w:rsidRPr="00AA77C7" w:rsidRDefault="008654F8" w:rsidP="009536F9">
            <w:pPr>
              <w:spacing w:before="20" w:after="20"/>
              <w:jc w:val="right"/>
              <w:rPr>
                <w:b/>
                <w:noProof/>
                <w:sz w:val="20"/>
              </w:rPr>
            </w:pPr>
          </w:p>
        </w:tc>
        <w:tc>
          <w:tcPr>
            <w:tcW w:w="1068" w:type="dxa"/>
            <w:shd w:val="clear" w:color="auto" w:fill="auto"/>
            <w:vAlign w:val="center"/>
          </w:tcPr>
          <w:p w:rsidR="008654F8" w:rsidRPr="00AA77C7" w:rsidRDefault="008654F8" w:rsidP="009536F9">
            <w:pPr>
              <w:spacing w:before="20" w:after="20"/>
              <w:jc w:val="right"/>
              <w:rPr>
                <w:b/>
                <w:noProof/>
                <w:sz w:val="20"/>
              </w:rPr>
            </w:pPr>
            <w:r w:rsidRPr="00AA77C7">
              <w:rPr>
                <w:b/>
                <w:noProof/>
                <w:sz w:val="20"/>
              </w:rPr>
              <w:t>113,627</w:t>
            </w:r>
          </w:p>
        </w:tc>
      </w:tr>
      <w:tr w:rsidR="00CB55E2" w:rsidRPr="00AA77C7" w:rsidTr="009536F9">
        <w:trPr>
          <w:trHeight w:val="351"/>
          <w:jc w:val="center"/>
        </w:trPr>
        <w:tc>
          <w:tcPr>
            <w:tcW w:w="6245" w:type="dxa"/>
            <w:gridSpan w:val="2"/>
            <w:vAlign w:val="center"/>
          </w:tcPr>
          <w:p w:rsidR="008654F8" w:rsidRPr="00AA77C7" w:rsidRDefault="008654F8" w:rsidP="009536F9">
            <w:pPr>
              <w:spacing w:before="20" w:after="20"/>
              <w:rPr>
                <w:noProof/>
              </w:rPr>
            </w:pPr>
            <w:r w:rsidRPr="00AA77C7">
              <w:rPr>
                <w:noProof/>
                <w:sz w:val="22"/>
              </w:rPr>
              <w:t xml:space="preserve">Ostatní správní výdaje </w:t>
            </w:r>
          </w:p>
        </w:tc>
        <w:tc>
          <w:tcPr>
            <w:tcW w:w="868" w:type="dxa"/>
            <w:vAlign w:val="center"/>
          </w:tcPr>
          <w:p w:rsidR="008654F8" w:rsidRPr="00AA77C7" w:rsidRDefault="008654F8" w:rsidP="009536F9">
            <w:pPr>
              <w:spacing w:before="20" w:after="20"/>
              <w:jc w:val="right"/>
              <w:rPr>
                <w:sz w:val="20"/>
              </w:rPr>
            </w:pPr>
            <w:r w:rsidRPr="00AA77C7">
              <w:rPr>
                <w:sz w:val="20"/>
              </w:rPr>
              <w:t>0,888</w:t>
            </w:r>
          </w:p>
        </w:tc>
        <w:tc>
          <w:tcPr>
            <w:tcW w:w="868" w:type="dxa"/>
            <w:vAlign w:val="center"/>
          </w:tcPr>
          <w:p w:rsidR="008654F8" w:rsidRPr="00AA77C7" w:rsidRDefault="008654F8" w:rsidP="009536F9">
            <w:pPr>
              <w:spacing w:before="20" w:after="20"/>
              <w:jc w:val="right"/>
              <w:rPr>
                <w:sz w:val="20"/>
              </w:rPr>
            </w:pPr>
            <w:r w:rsidRPr="00AA77C7">
              <w:rPr>
                <w:sz w:val="20"/>
              </w:rPr>
              <w:t>0,888</w:t>
            </w:r>
          </w:p>
        </w:tc>
        <w:tc>
          <w:tcPr>
            <w:tcW w:w="868" w:type="dxa"/>
            <w:vAlign w:val="center"/>
          </w:tcPr>
          <w:p w:rsidR="008654F8" w:rsidRPr="00AA77C7" w:rsidRDefault="008654F8" w:rsidP="009536F9">
            <w:pPr>
              <w:spacing w:before="20" w:after="20"/>
              <w:jc w:val="right"/>
              <w:rPr>
                <w:sz w:val="20"/>
              </w:rPr>
            </w:pPr>
            <w:r w:rsidRPr="00AA77C7">
              <w:rPr>
                <w:sz w:val="20"/>
              </w:rPr>
              <w:t>0,888</w:t>
            </w:r>
          </w:p>
        </w:tc>
        <w:tc>
          <w:tcPr>
            <w:tcW w:w="868" w:type="dxa"/>
            <w:vAlign w:val="center"/>
          </w:tcPr>
          <w:p w:rsidR="008654F8" w:rsidRPr="00AA77C7" w:rsidRDefault="008654F8" w:rsidP="009536F9">
            <w:pPr>
              <w:spacing w:before="20" w:after="20"/>
              <w:jc w:val="right"/>
              <w:rPr>
                <w:sz w:val="20"/>
              </w:rPr>
            </w:pPr>
            <w:r w:rsidRPr="00AA77C7">
              <w:rPr>
                <w:sz w:val="20"/>
              </w:rPr>
              <w:t>0,888</w:t>
            </w:r>
          </w:p>
        </w:tc>
        <w:tc>
          <w:tcPr>
            <w:tcW w:w="868" w:type="dxa"/>
            <w:vAlign w:val="center"/>
          </w:tcPr>
          <w:p w:rsidR="008654F8" w:rsidRPr="00AA77C7" w:rsidRDefault="008654F8" w:rsidP="009536F9">
            <w:pPr>
              <w:spacing w:before="20" w:after="20"/>
              <w:jc w:val="right"/>
              <w:rPr>
                <w:sz w:val="20"/>
              </w:rPr>
            </w:pPr>
            <w:r w:rsidRPr="00AA77C7">
              <w:rPr>
                <w:sz w:val="20"/>
              </w:rPr>
              <w:t>0,888</w:t>
            </w:r>
          </w:p>
        </w:tc>
        <w:tc>
          <w:tcPr>
            <w:tcW w:w="868" w:type="dxa"/>
            <w:vAlign w:val="center"/>
          </w:tcPr>
          <w:p w:rsidR="008654F8" w:rsidRPr="00AA77C7" w:rsidRDefault="008654F8" w:rsidP="009536F9">
            <w:pPr>
              <w:spacing w:before="20" w:after="20"/>
              <w:jc w:val="right"/>
              <w:rPr>
                <w:sz w:val="20"/>
              </w:rPr>
            </w:pPr>
            <w:r w:rsidRPr="00AA77C7">
              <w:rPr>
                <w:sz w:val="20"/>
              </w:rPr>
              <w:t>0,888</w:t>
            </w:r>
          </w:p>
        </w:tc>
        <w:tc>
          <w:tcPr>
            <w:tcW w:w="868" w:type="dxa"/>
            <w:vAlign w:val="center"/>
          </w:tcPr>
          <w:p w:rsidR="008654F8" w:rsidRPr="00AA77C7" w:rsidRDefault="008654F8" w:rsidP="009536F9">
            <w:pPr>
              <w:spacing w:before="20" w:after="20"/>
              <w:jc w:val="right"/>
              <w:rPr>
                <w:sz w:val="20"/>
              </w:rPr>
            </w:pPr>
            <w:r w:rsidRPr="00AA77C7">
              <w:rPr>
                <w:sz w:val="20"/>
              </w:rPr>
              <w:t>0,888</w:t>
            </w:r>
          </w:p>
        </w:tc>
        <w:tc>
          <w:tcPr>
            <w:tcW w:w="1110" w:type="dxa"/>
            <w:shd w:val="clear" w:color="auto" w:fill="A6A6A6" w:themeFill="background1" w:themeFillShade="A6"/>
          </w:tcPr>
          <w:p w:rsidR="008654F8" w:rsidRPr="00AA77C7" w:rsidRDefault="008654F8" w:rsidP="009536F9">
            <w:pPr>
              <w:spacing w:before="20" w:after="20"/>
              <w:jc w:val="right"/>
              <w:rPr>
                <w:b/>
                <w:noProof/>
                <w:sz w:val="20"/>
              </w:rPr>
            </w:pPr>
          </w:p>
        </w:tc>
        <w:tc>
          <w:tcPr>
            <w:tcW w:w="1068" w:type="dxa"/>
            <w:vAlign w:val="center"/>
          </w:tcPr>
          <w:p w:rsidR="008654F8" w:rsidRPr="00AA77C7" w:rsidRDefault="008654F8" w:rsidP="009536F9">
            <w:pPr>
              <w:spacing w:before="20" w:after="20"/>
              <w:jc w:val="right"/>
              <w:rPr>
                <w:b/>
                <w:noProof/>
                <w:sz w:val="20"/>
              </w:rPr>
            </w:pPr>
            <w:r w:rsidRPr="00AA77C7">
              <w:rPr>
                <w:b/>
                <w:noProof/>
                <w:sz w:val="20"/>
              </w:rPr>
              <w:t>6,213</w:t>
            </w:r>
          </w:p>
        </w:tc>
      </w:tr>
      <w:tr w:rsidR="00CB55E2" w:rsidRPr="00AA77C7" w:rsidTr="00CB55E2">
        <w:trPr>
          <w:trHeight w:val="351"/>
          <w:jc w:val="center"/>
        </w:trPr>
        <w:tc>
          <w:tcPr>
            <w:tcW w:w="4199" w:type="dxa"/>
            <w:vAlign w:val="center"/>
          </w:tcPr>
          <w:p w:rsidR="008654F8" w:rsidRPr="00AA77C7" w:rsidDel="00704F41" w:rsidRDefault="008654F8" w:rsidP="009536F9">
            <w:pPr>
              <w:spacing w:before="20" w:after="20"/>
              <w:jc w:val="left"/>
              <w:rPr>
                <w:b/>
                <w:noProof/>
                <w:sz w:val="22"/>
              </w:rPr>
            </w:pPr>
            <w:r w:rsidRPr="00AA77C7">
              <w:rPr>
                <w:b/>
                <w:noProof/>
                <w:sz w:val="22"/>
              </w:rPr>
              <w:t>CELKEM prostředky z OKRUHU 7 víceletého finančního rámce</w:t>
            </w:r>
          </w:p>
        </w:tc>
        <w:tc>
          <w:tcPr>
            <w:tcW w:w="2046" w:type="dxa"/>
            <w:vAlign w:val="center"/>
          </w:tcPr>
          <w:p w:rsidR="008654F8" w:rsidRPr="00AA77C7" w:rsidDel="00704F41" w:rsidRDefault="008654F8" w:rsidP="009536F9">
            <w:pPr>
              <w:spacing w:before="20" w:after="20"/>
              <w:rPr>
                <w:noProof/>
                <w:sz w:val="22"/>
              </w:rPr>
            </w:pPr>
            <w:r w:rsidRPr="00AA77C7">
              <w:rPr>
                <w:noProof/>
                <w:sz w:val="18"/>
              </w:rPr>
              <w:t>(Závazky celkem = platby celkem)</w:t>
            </w:r>
          </w:p>
        </w:tc>
        <w:tc>
          <w:tcPr>
            <w:tcW w:w="868" w:type="dxa"/>
            <w:shd w:val="clear" w:color="auto" w:fill="auto"/>
            <w:vAlign w:val="bottom"/>
          </w:tcPr>
          <w:p w:rsidR="008654F8" w:rsidRPr="00AA77C7" w:rsidRDefault="008654F8" w:rsidP="005D43D3">
            <w:pPr>
              <w:jc w:val="right"/>
              <w:rPr>
                <w:b/>
                <w:sz w:val="22"/>
              </w:rPr>
            </w:pPr>
            <w:r w:rsidRPr="00AA77C7">
              <w:rPr>
                <w:sz w:val="20"/>
              </w:rPr>
              <w:t>15,189</w:t>
            </w:r>
          </w:p>
        </w:tc>
        <w:tc>
          <w:tcPr>
            <w:tcW w:w="868" w:type="dxa"/>
            <w:shd w:val="clear" w:color="auto" w:fill="auto"/>
            <w:vAlign w:val="bottom"/>
          </w:tcPr>
          <w:p w:rsidR="008654F8" w:rsidRPr="00AA77C7" w:rsidRDefault="008654F8" w:rsidP="005D43D3">
            <w:pPr>
              <w:jc w:val="right"/>
              <w:rPr>
                <w:b/>
                <w:sz w:val="22"/>
              </w:rPr>
            </w:pPr>
            <w:r w:rsidRPr="00AA77C7">
              <w:rPr>
                <w:sz w:val="20"/>
              </w:rPr>
              <w:t>16,489</w:t>
            </w:r>
          </w:p>
        </w:tc>
        <w:tc>
          <w:tcPr>
            <w:tcW w:w="868" w:type="dxa"/>
            <w:shd w:val="clear" w:color="auto" w:fill="auto"/>
            <w:vAlign w:val="bottom"/>
          </w:tcPr>
          <w:p w:rsidR="008654F8" w:rsidRPr="00AA77C7" w:rsidRDefault="008654F8" w:rsidP="005D43D3">
            <w:pPr>
              <w:jc w:val="right"/>
              <w:rPr>
                <w:b/>
                <w:sz w:val="22"/>
              </w:rPr>
            </w:pPr>
            <w:r w:rsidRPr="00AA77C7">
              <w:rPr>
                <w:sz w:val="20"/>
              </w:rPr>
              <w:t>17,633</w:t>
            </w:r>
          </w:p>
        </w:tc>
        <w:tc>
          <w:tcPr>
            <w:tcW w:w="868" w:type="dxa"/>
            <w:shd w:val="clear" w:color="auto" w:fill="auto"/>
            <w:vAlign w:val="bottom"/>
          </w:tcPr>
          <w:p w:rsidR="008654F8" w:rsidRPr="00AA77C7" w:rsidRDefault="008654F8" w:rsidP="005D43D3">
            <w:pPr>
              <w:jc w:val="right"/>
              <w:rPr>
                <w:b/>
                <w:sz w:val="22"/>
              </w:rPr>
            </w:pPr>
            <w:r w:rsidRPr="00AA77C7">
              <w:rPr>
                <w:sz w:val="20"/>
              </w:rPr>
              <w:t>17,633</w:t>
            </w:r>
          </w:p>
        </w:tc>
        <w:tc>
          <w:tcPr>
            <w:tcW w:w="868" w:type="dxa"/>
            <w:shd w:val="clear" w:color="auto" w:fill="auto"/>
          </w:tcPr>
          <w:p w:rsidR="008654F8" w:rsidRPr="00AA77C7" w:rsidRDefault="008654F8" w:rsidP="005D43D3">
            <w:pPr>
              <w:jc w:val="right"/>
              <w:rPr>
                <w:b/>
                <w:sz w:val="22"/>
              </w:rPr>
            </w:pPr>
            <w:r w:rsidRPr="00AA77C7">
              <w:rPr>
                <w:sz w:val="20"/>
              </w:rPr>
              <w:t>17,633</w:t>
            </w:r>
          </w:p>
        </w:tc>
        <w:tc>
          <w:tcPr>
            <w:tcW w:w="868" w:type="dxa"/>
            <w:shd w:val="clear" w:color="auto" w:fill="auto"/>
          </w:tcPr>
          <w:p w:rsidR="008654F8" w:rsidRPr="00AA77C7" w:rsidRDefault="008654F8" w:rsidP="005D43D3">
            <w:pPr>
              <w:jc w:val="right"/>
              <w:rPr>
                <w:b/>
                <w:sz w:val="22"/>
              </w:rPr>
            </w:pPr>
            <w:r w:rsidRPr="00AA77C7">
              <w:rPr>
                <w:sz w:val="20"/>
              </w:rPr>
              <w:t>17,633</w:t>
            </w:r>
          </w:p>
        </w:tc>
        <w:tc>
          <w:tcPr>
            <w:tcW w:w="868" w:type="dxa"/>
            <w:shd w:val="clear" w:color="auto" w:fill="auto"/>
          </w:tcPr>
          <w:p w:rsidR="008654F8" w:rsidRPr="00AA77C7" w:rsidRDefault="008654F8" w:rsidP="005D43D3">
            <w:pPr>
              <w:jc w:val="right"/>
              <w:rPr>
                <w:b/>
                <w:sz w:val="22"/>
              </w:rPr>
            </w:pPr>
            <w:r w:rsidRPr="00AA77C7">
              <w:rPr>
                <w:sz w:val="20"/>
              </w:rPr>
              <w:t>17,633</w:t>
            </w:r>
          </w:p>
        </w:tc>
        <w:tc>
          <w:tcPr>
            <w:tcW w:w="1110" w:type="dxa"/>
            <w:shd w:val="clear" w:color="auto" w:fill="A6A6A6" w:themeFill="background1" w:themeFillShade="A6"/>
            <w:vAlign w:val="bottom"/>
          </w:tcPr>
          <w:p w:rsidR="008654F8" w:rsidRPr="00AA77C7" w:rsidRDefault="008654F8" w:rsidP="009536F9">
            <w:pPr>
              <w:spacing w:before="20" w:after="20"/>
              <w:jc w:val="right"/>
              <w:rPr>
                <w:b/>
                <w:noProof/>
                <w:sz w:val="20"/>
              </w:rPr>
            </w:pPr>
          </w:p>
        </w:tc>
        <w:tc>
          <w:tcPr>
            <w:tcW w:w="1068" w:type="dxa"/>
            <w:shd w:val="clear" w:color="auto" w:fill="auto"/>
            <w:vAlign w:val="bottom"/>
          </w:tcPr>
          <w:p w:rsidR="008654F8" w:rsidRPr="00AA77C7" w:rsidRDefault="008654F8" w:rsidP="005D43D3">
            <w:pPr>
              <w:jc w:val="right"/>
              <w:rPr>
                <w:b/>
                <w:sz w:val="22"/>
              </w:rPr>
            </w:pPr>
            <w:r w:rsidRPr="00AA77C7">
              <w:rPr>
                <w:b/>
                <w:noProof/>
                <w:sz w:val="20"/>
              </w:rPr>
              <w:t>119,840</w:t>
            </w:r>
          </w:p>
        </w:tc>
      </w:tr>
    </w:tbl>
    <w:p w:rsidR="00DF167D" w:rsidRPr="00AA77C7" w:rsidRDefault="00DF167D" w:rsidP="00DF167D">
      <w:pPr>
        <w:jc w:val="right"/>
        <w:rPr>
          <w:noProof/>
          <w:sz w:val="20"/>
        </w:rPr>
      </w:pPr>
      <w:r w:rsidRPr="00AA77C7">
        <w:rPr>
          <w:noProof/>
          <w:sz w:val="20"/>
        </w:rPr>
        <w:t>v milionech EUR (zaokrouhleno na tři desetinná místa)</w:t>
      </w:r>
    </w:p>
    <w:tbl>
      <w:tblPr>
        <w:tblW w:w="14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560"/>
        <w:gridCol w:w="534"/>
        <w:gridCol w:w="868"/>
        <w:gridCol w:w="868"/>
        <w:gridCol w:w="868"/>
        <w:gridCol w:w="868"/>
        <w:gridCol w:w="868"/>
        <w:gridCol w:w="868"/>
        <w:gridCol w:w="868"/>
        <w:gridCol w:w="877"/>
        <w:gridCol w:w="1292"/>
      </w:tblGrid>
      <w:tr w:rsidR="00CB55E2" w:rsidRPr="00AA77C7" w:rsidTr="009536F9">
        <w:trPr>
          <w:jc w:val="center"/>
        </w:trPr>
        <w:tc>
          <w:tcPr>
            <w:tcW w:w="4173" w:type="dxa"/>
            <w:tcBorders>
              <w:top w:val="nil"/>
              <w:left w:val="nil"/>
              <w:right w:val="nil"/>
            </w:tcBorders>
            <w:vAlign w:val="center"/>
          </w:tcPr>
          <w:p w:rsidR="00DF167D" w:rsidRPr="00AA77C7" w:rsidRDefault="00DF167D" w:rsidP="009536F9">
            <w:pPr>
              <w:jc w:val="center"/>
              <w:rPr>
                <w:noProof/>
              </w:rPr>
            </w:pPr>
          </w:p>
        </w:tc>
        <w:tc>
          <w:tcPr>
            <w:tcW w:w="1560" w:type="dxa"/>
            <w:tcBorders>
              <w:top w:val="nil"/>
              <w:left w:val="nil"/>
              <w:right w:val="nil"/>
            </w:tcBorders>
          </w:tcPr>
          <w:p w:rsidR="00DF167D" w:rsidRPr="00AA77C7" w:rsidRDefault="00DF167D" w:rsidP="009536F9">
            <w:pPr>
              <w:rPr>
                <w:noProof/>
                <w:sz w:val="20"/>
              </w:rPr>
            </w:pPr>
          </w:p>
        </w:tc>
        <w:tc>
          <w:tcPr>
            <w:tcW w:w="534" w:type="dxa"/>
            <w:tcBorders>
              <w:top w:val="nil"/>
              <w:left w:val="nil"/>
            </w:tcBorders>
          </w:tcPr>
          <w:p w:rsidR="00DF167D" w:rsidRPr="00AA77C7" w:rsidRDefault="00DF167D" w:rsidP="009536F9">
            <w:pPr>
              <w:jc w:val="center"/>
              <w:rPr>
                <w:noProof/>
                <w:sz w:val="20"/>
              </w:rPr>
            </w:pPr>
          </w:p>
        </w:tc>
        <w:tc>
          <w:tcPr>
            <w:tcW w:w="868" w:type="dxa"/>
            <w:vAlign w:val="center"/>
          </w:tcPr>
          <w:p w:rsidR="00DF167D" w:rsidRPr="00AA77C7" w:rsidRDefault="00DF167D" w:rsidP="009536F9">
            <w:pPr>
              <w:jc w:val="center"/>
              <w:rPr>
                <w:noProof/>
                <w:sz w:val="20"/>
              </w:rPr>
            </w:pPr>
            <w:r w:rsidRPr="00AA77C7">
              <w:rPr>
                <w:b/>
                <w:noProof/>
                <w:sz w:val="20"/>
              </w:rPr>
              <w:t>2021</w:t>
            </w:r>
          </w:p>
        </w:tc>
        <w:tc>
          <w:tcPr>
            <w:tcW w:w="868" w:type="dxa"/>
            <w:vAlign w:val="center"/>
          </w:tcPr>
          <w:p w:rsidR="00DF167D" w:rsidRPr="00AA77C7" w:rsidRDefault="00DF167D" w:rsidP="009536F9">
            <w:pPr>
              <w:jc w:val="center"/>
              <w:rPr>
                <w:noProof/>
                <w:sz w:val="20"/>
              </w:rPr>
            </w:pPr>
            <w:r w:rsidRPr="00AA77C7">
              <w:rPr>
                <w:b/>
                <w:noProof/>
                <w:sz w:val="20"/>
              </w:rPr>
              <w:t>2022</w:t>
            </w:r>
          </w:p>
        </w:tc>
        <w:tc>
          <w:tcPr>
            <w:tcW w:w="868" w:type="dxa"/>
            <w:vAlign w:val="center"/>
          </w:tcPr>
          <w:p w:rsidR="00DF167D" w:rsidRPr="00AA77C7" w:rsidRDefault="00DF167D" w:rsidP="009536F9">
            <w:pPr>
              <w:jc w:val="center"/>
              <w:rPr>
                <w:noProof/>
                <w:sz w:val="20"/>
              </w:rPr>
            </w:pPr>
            <w:r w:rsidRPr="00AA77C7">
              <w:rPr>
                <w:b/>
                <w:noProof/>
                <w:sz w:val="20"/>
              </w:rPr>
              <w:t>2023</w:t>
            </w:r>
          </w:p>
        </w:tc>
        <w:tc>
          <w:tcPr>
            <w:tcW w:w="868" w:type="dxa"/>
            <w:vAlign w:val="center"/>
          </w:tcPr>
          <w:p w:rsidR="00DF167D" w:rsidRPr="00AA77C7" w:rsidRDefault="00DF167D" w:rsidP="009536F9">
            <w:pPr>
              <w:jc w:val="center"/>
              <w:rPr>
                <w:noProof/>
                <w:sz w:val="20"/>
              </w:rPr>
            </w:pPr>
            <w:r w:rsidRPr="00AA77C7">
              <w:rPr>
                <w:b/>
                <w:noProof/>
                <w:sz w:val="20"/>
              </w:rPr>
              <w:t>2024</w:t>
            </w:r>
          </w:p>
        </w:tc>
        <w:tc>
          <w:tcPr>
            <w:tcW w:w="868" w:type="dxa"/>
            <w:vAlign w:val="center"/>
          </w:tcPr>
          <w:p w:rsidR="00DF167D" w:rsidRPr="00AA77C7" w:rsidRDefault="00DF167D" w:rsidP="009536F9">
            <w:pPr>
              <w:jc w:val="center"/>
              <w:rPr>
                <w:b/>
                <w:noProof/>
                <w:sz w:val="18"/>
              </w:rPr>
            </w:pPr>
            <w:r w:rsidRPr="00AA77C7">
              <w:rPr>
                <w:b/>
                <w:noProof/>
                <w:sz w:val="18"/>
              </w:rPr>
              <w:t>2025</w:t>
            </w:r>
          </w:p>
        </w:tc>
        <w:tc>
          <w:tcPr>
            <w:tcW w:w="868" w:type="dxa"/>
            <w:vAlign w:val="center"/>
          </w:tcPr>
          <w:p w:rsidR="00DF167D" w:rsidRPr="00AA77C7" w:rsidRDefault="00DF167D" w:rsidP="009536F9">
            <w:pPr>
              <w:jc w:val="center"/>
              <w:rPr>
                <w:b/>
                <w:noProof/>
                <w:sz w:val="18"/>
              </w:rPr>
            </w:pPr>
            <w:r w:rsidRPr="00AA77C7">
              <w:rPr>
                <w:b/>
                <w:noProof/>
                <w:sz w:val="18"/>
              </w:rPr>
              <w:t>2026</w:t>
            </w:r>
          </w:p>
        </w:tc>
        <w:tc>
          <w:tcPr>
            <w:tcW w:w="868" w:type="dxa"/>
            <w:vAlign w:val="center"/>
          </w:tcPr>
          <w:p w:rsidR="00DF167D" w:rsidRPr="00AA77C7" w:rsidRDefault="00DF167D" w:rsidP="009536F9">
            <w:pPr>
              <w:jc w:val="center"/>
              <w:rPr>
                <w:b/>
                <w:noProof/>
                <w:sz w:val="18"/>
              </w:rPr>
            </w:pPr>
            <w:r w:rsidRPr="00AA77C7">
              <w:rPr>
                <w:b/>
                <w:noProof/>
                <w:sz w:val="18"/>
              </w:rPr>
              <w:t>2027</w:t>
            </w:r>
          </w:p>
        </w:tc>
        <w:tc>
          <w:tcPr>
            <w:tcW w:w="877" w:type="dxa"/>
          </w:tcPr>
          <w:p w:rsidR="00DF167D" w:rsidRPr="00AA77C7" w:rsidRDefault="00DF167D" w:rsidP="009536F9">
            <w:pPr>
              <w:jc w:val="center"/>
              <w:rPr>
                <w:b/>
                <w:noProof/>
                <w:sz w:val="20"/>
              </w:rPr>
            </w:pPr>
            <w:r w:rsidRPr="00AA77C7">
              <w:rPr>
                <w:b/>
                <w:i/>
                <w:noProof/>
                <w:sz w:val="20"/>
              </w:rPr>
              <w:t>Po roce 2027</w:t>
            </w:r>
          </w:p>
        </w:tc>
        <w:tc>
          <w:tcPr>
            <w:tcW w:w="1292" w:type="dxa"/>
            <w:vAlign w:val="center"/>
          </w:tcPr>
          <w:p w:rsidR="00DF167D" w:rsidRPr="00AA77C7" w:rsidRDefault="00DF167D" w:rsidP="009536F9">
            <w:pPr>
              <w:jc w:val="center"/>
              <w:rPr>
                <w:b/>
                <w:noProof/>
                <w:sz w:val="20"/>
              </w:rPr>
            </w:pPr>
            <w:r w:rsidRPr="00AA77C7">
              <w:rPr>
                <w:b/>
                <w:noProof/>
                <w:sz w:val="20"/>
              </w:rPr>
              <w:t>CELKEM</w:t>
            </w:r>
          </w:p>
        </w:tc>
      </w:tr>
      <w:tr w:rsidR="00CB55E2" w:rsidRPr="00AA77C7" w:rsidTr="00CB55E2">
        <w:trPr>
          <w:jc w:val="center"/>
        </w:trPr>
        <w:tc>
          <w:tcPr>
            <w:tcW w:w="4173" w:type="dxa"/>
            <w:vMerge w:val="restart"/>
            <w:shd w:val="clear" w:color="auto" w:fill="C0C0C0"/>
            <w:vAlign w:val="center"/>
          </w:tcPr>
          <w:p w:rsidR="008654F8" w:rsidRPr="00AA77C7" w:rsidRDefault="008654F8" w:rsidP="009536F9">
            <w:pPr>
              <w:jc w:val="center"/>
              <w:rPr>
                <w:b/>
                <w:noProof/>
              </w:rPr>
            </w:pPr>
            <w:r w:rsidRPr="00AA77C7">
              <w:rPr>
                <w:b/>
                <w:noProof/>
                <w:sz w:val="22"/>
              </w:rPr>
              <w:t>Prostředky ze všech</w:t>
            </w:r>
            <w:r w:rsidRPr="00AA77C7">
              <w:rPr>
                <w:noProof/>
                <w:sz w:val="22"/>
              </w:rPr>
              <w:br/>
            </w:r>
            <w:r w:rsidRPr="00AA77C7">
              <w:rPr>
                <w:b/>
                <w:noProof/>
                <w:sz w:val="22"/>
              </w:rPr>
              <w:t xml:space="preserve">OKRUHŮ </w:t>
            </w:r>
            <w:r w:rsidRPr="00AA77C7">
              <w:rPr>
                <w:noProof/>
                <w:sz w:val="22"/>
              </w:rPr>
              <w:br/>
              <w:t xml:space="preserve">víceletého finančního rámce </w:t>
            </w:r>
            <w:r w:rsidRPr="00AA77C7">
              <w:rPr>
                <w:b/>
                <w:noProof/>
                <w:sz w:val="22"/>
              </w:rPr>
              <w:t xml:space="preserve">CELKEM </w:t>
            </w:r>
          </w:p>
        </w:tc>
        <w:tc>
          <w:tcPr>
            <w:tcW w:w="2094" w:type="dxa"/>
            <w:gridSpan w:val="2"/>
            <w:vAlign w:val="center"/>
          </w:tcPr>
          <w:p w:rsidR="008654F8" w:rsidRPr="00AA77C7" w:rsidRDefault="008654F8" w:rsidP="009536F9">
            <w:pPr>
              <w:rPr>
                <w:noProof/>
                <w:sz w:val="14"/>
              </w:rPr>
            </w:pPr>
            <w:r w:rsidRPr="00AA77C7">
              <w:rPr>
                <w:noProof/>
                <w:sz w:val="18"/>
              </w:rPr>
              <w:t>Závazky</w:t>
            </w:r>
          </w:p>
        </w:tc>
        <w:tc>
          <w:tcPr>
            <w:tcW w:w="868" w:type="dxa"/>
            <w:vAlign w:val="bottom"/>
          </w:tcPr>
          <w:p w:rsidR="008654F8" w:rsidRPr="00AA77C7" w:rsidRDefault="008654F8" w:rsidP="005D43D3">
            <w:pPr>
              <w:jc w:val="center"/>
              <w:rPr>
                <w:sz w:val="20"/>
              </w:rPr>
            </w:pPr>
            <w:r w:rsidRPr="00AA77C7">
              <w:rPr>
                <w:sz w:val="20"/>
              </w:rPr>
              <w:t>264,231</w:t>
            </w:r>
          </w:p>
        </w:tc>
        <w:tc>
          <w:tcPr>
            <w:tcW w:w="868" w:type="dxa"/>
            <w:vAlign w:val="bottom"/>
          </w:tcPr>
          <w:p w:rsidR="008654F8" w:rsidRPr="00AA77C7" w:rsidRDefault="008654F8" w:rsidP="005D43D3">
            <w:pPr>
              <w:jc w:val="center"/>
              <w:rPr>
                <w:sz w:val="20"/>
              </w:rPr>
            </w:pPr>
            <w:r w:rsidRPr="00AA77C7">
              <w:rPr>
                <w:sz w:val="20"/>
              </w:rPr>
              <w:t>270,512</w:t>
            </w:r>
          </w:p>
        </w:tc>
        <w:tc>
          <w:tcPr>
            <w:tcW w:w="868" w:type="dxa"/>
            <w:vAlign w:val="bottom"/>
          </w:tcPr>
          <w:p w:rsidR="008654F8" w:rsidRPr="00AA77C7" w:rsidRDefault="008654F8" w:rsidP="005D43D3">
            <w:pPr>
              <w:jc w:val="center"/>
              <w:rPr>
                <w:sz w:val="20"/>
              </w:rPr>
            </w:pPr>
            <w:r w:rsidRPr="00AA77C7">
              <w:rPr>
                <w:sz w:val="20"/>
              </w:rPr>
              <w:t>276,736</w:t>
            </w:r>
          </w:p>
        </w:tc>
        <w:tc>
          <w:tcPr>
            <w:tcW w:w="868" w:type="dxa"/>
            <w:vAlign w:val="bottom"/>
          </w:tcPr>
          <w:p w:rsidR="008654F8" w:rsidRPr="00AA77C7" w:rsidRDefault="008654F8" w:rsidP="005D43D3">
            <w:pPr>
              <w:jc w:val="center"/>
              <w:rPr>
                <w:sz w:val="20"/>
              </w:rPr>
            </w:pPr>
            <w:r w:rsidRPr="00AA77C7">
              <w:rPr>
                <w:sz w:val="20"/>
              </w:rPr>
              <w:t>281,919</w:t>
            </w:r>
          </w:p>
        </w:tc>
        <w:tc>
          <w:tcPr>
            <w:tcW w:w="868" w:type="dxa"/>
            <w:vAlign w:val="bottom"/>
          </w:tcPr>
          <w:p w:rsidR="008654F8" w:rsidRPr="00AA77C7" w:rsidRDefault="008654F8" w:rsidP="005D43D3">
            <w:pPr>
              <w:jc w:val="center"/>
              <w:rPr>
                <w:sz w:val="20"/>
              </w:rPr>
            </w:pPr>
            <w:r w:rsidRPr="00AA77C7">
              <w:rPr>
                <w:sz w:val="20"/>
              </w:rPr>
              <w:t>287,204</w:t>
            </w:r>
          </w:p>
        </w:tc>
        <w:tc>
          <w:tcPr>
            <w:tcW w:w="868" w:type="dxa"/>
            <w:vAlign w:val="bottom"/>
          </w:tcPr>
          <w:p w:rsidR="008654F8" w:rsidRPr="00AA77C7" w:rsidRDefault="008654F8" w:rsidP="005D43D3">
            <w:pPr>
              <w:jc w:val="center"/>
              <w:rPr>
                <w:sz w:val="20"/>
              </w:rPr>
            </w:pPr>
            <w:r w:rsidRPr="00AA77C7">
              <w:rPr>
                <w:sz w:val="20"/>
              </w:rPr>
              <w:t>292,596</w:t>
            </w:r>
          </w:p>
        </w:tc>
        <w:tc>
          <w:tcPr>
            <w:tcW w:w="868" w:type="dxa"/>
            <w:vAlign w:val="bottom"/>
          </w:tcPr>
          <w:p w:rsidR="008654F8" w:rsidRPr="00AA77C7" w:rsidRDefault="008654F8" w:rsidP="005D43D3">
            <w:pPr>
              <w:jc w:val="center"/>
              <w:rPr>
                <w:sz w:val="20"/>
              </w:rPr>
            </w:pPr>
            <w:r w:rsidRPr="00AA77C7">
              <w:rPr>
                <w:sz w:val="20"/>
              </w:rPr>
              <w:t>296,645</w:t>
            </w:r>
          </w:p>
        </w:tc>
        <w:tc>
          <w:tcPr>
            <w:tcW w:w="877" w:type="dxa"/>
            <w:shd w:val="clear" w:color="auto" w:fill="A6A6A6" w:themeFill="background1" w:themeFillShade="A6"/>
            <w:vAlign w:val="center"/>
          </w:tcPr>
          <w:p w:rsidR="008654F8" w:rsidRPr="00AA77C7" w:rsidRDefault="008654F8" w:rsidP="005D43D3">
            <w:pPr>
              <w:spacing w:before="60" w:after="60"/>
              <w:jc w:val="center"/>
              <w:rPr>
                <w:b/>
                <w:noProof/>
                <w:sz w:val="20"/>
                <w:szCs w:val="20"/>
              </w:rPr>
            </w:pPr>
          </w:p>
        </w:tc>
        <w:tc>
          <w:tcPr>
            <w:tcW w:w="1292" w:type="dxa"/>
            <w:vAlign w:val="center"/>
          </w:tcPr>
          <w:p w:rsidR="008654F8" w:rsidRPr="00AA77C7" w:rsidRDefault="008654F8" w:rsidP="005D43D3">
            <w:pPr>
              <w:jc w:val="center"/>
              <w:rPr>
                <w:b/>
                <w:sz w:val="20"/>
              </w:rPr>
            </w:pPr>
            <w:r w:rsidRPr="00AA77C7">
              <w:rPr>
                <w:b/>
                <w:sz w:val="20"/>
              </w:rPr>
              <w:t>1 969,840</w:t>
            </w:r>
          </w:p>
        </w:tc>
      </w:tr>
      <w:tr w:rsidR="00CB55E2" w:rsidRPr="00AA77C7" w:rsidTr="005D43D3">
        <w:trPr>
          <w:jc w:val="center"/>
        </w:trPr>
        <w:tc>
          <w:tcPr>
            <w:tcW w:w="4173" w:type="dxa"/>
            <w:vMerge/>
            <w:shd w:val="clear" w:color="auto" w:fill="C0C0C0"/>
          </w:tcPr>
          <w:p w:rsidR="008654F8" w:rsidRPr="00AA77C7" w:rsidRDefault="008654F8" w:rsidP="009536F9">
            <w:pPr>
              <w:rPr>
                <w:noProof/>
                <w:sz w:val="20"/>
              </w:rPr>
            </w:pPr>
          </w:p>
        </w:tc>
        <w:tc>
          <w:tcPr>
            <w:tcW w:w="2094" w:type="dxa"/>
            <w:gridSpan w:val="2"/>
            <w:vAlign w:val="center"/>
          </w:tcPr>
          <w:p w:rsidR="008654F8" w:rsidRPr="00AA77C7" w:rsidRDefault="008654F8" w:rsidP="009536F9">
            <w:pPr>
              <w:rPr>
                <w:noProof/>
                <w:sz w:val="14"/>
              </w:rPr>
            </w:pPr>
            <w:r w:rsidRPr="00AA77C7">
              <w:rPr>
                <w:noProof/>
                <w:sz w:val="18"/>
              </w:rPr>
              <w:t>Platby</w:t>
            </w:r>
          </w:p>
        </w:tc>
        <w:tc>
          <w:tcPr>
            <w:tcW w:w="868" w:type="dxa"/>
            <w:vAlign w:val="center"/>
          </w:tcPr>
          <w:p w:rsidR="008654F8" w:rsidRPr="00AA77C7" w:rsidRDefault="008654F8" w:rsidP="009536F9">
            <w:pPr>
              <w:spacing w:before="60" w:after="60"/>
              <w:jc w:val="right"/>
              <w:rPr>
                <w:noProof/>
                <w:sz w:val="20"/>
              </w:rPr>
            </w:pPr>
            <w:r w:rsidRPr="00AA77C7">
              <w:rPr>
                <w:sz w:val="20"/>
              </w:rPr>
              <w:t>156,637</w:t>
            </w:r>
          </w:p>
        </w:tc>
        <w:tc>
          <w:tcPr>
            <w:tcW w:w="868" w:type="dxa"/>
            <w:vAlign w:val="center"/>
          </w:tcPr>
          <w:p w:rsidR="008654F8" w:rsidRPr="00AA77C7" w:rsidRDefault="008654F8" w:rsidP="009536F9">
            <w:pPr>
              <w:spacing w:before="60" w:after="60"/>
              <w:jc w:val="right"/>
              <w:rPr>
                <w:noProof/>
                <w:sz w:val="20"/>
              </w:rPr>
            </w:pPr>
            <w:r w:rsidRPr="00AA77C7">
              <w:rPr>
                <w:sz w:val="20"/>
              </w:rPr>
              <w:t>199,341</w:t>
            </w:r>
          </w:p>
        </w:tc>
        <w:tc>
          <w:tcPr>
            <w:tcW w:w="868" w:type="dxa"/>
            <w:vAlign w:val="center"/>
          </w:tcPr>
          <w:p w:rsidR="008654F8" w:rsidRPr="00AA77C7" w:rsidRDefault="008654F8" w:rsidP="009536F9">
            <w:pPr>
              <w:spacing w:before="60" w:after="60"/>
              <w:jc w:val="right"/>
              <w:rPr>
                <w:noProof/>
                <w:sz w:val="20"/>
              </w:rPr>
            </w:pPr>
            <w:r w:rsidRPr="00AA77C7">
              <w:rPr>
                <w:sz w:val="20"/>
              </w:rPr>
              <w:t>243,4</w:t>
            </w:r>
          </w:p>
        </w:tc>
        <w:tc>
          <w:tcPr>
            <w:tcW w:w="868" w:type="dxa"/>
            <w:vAlign w:val="center"/>
          </w:tcPr>
          <w:p w:rsidR="008654F8" w:rsidRPr="00AA77C7" w:rsidRDefault="008654F8" w:rsidP="009536F9">
            <w:pPr>
              <w:spacing w:before="60" w:after="60"/>
              <w:jc w:val="right"/>
              <w:rPr>
                <w:noProof/>
                <w:sz w:val="20"/>
              </w:rPr>
            </w:pPr>
            <w:r w:rsidRPr="00AA77C7">
              <w:rPr>
                <w:sz w:val="20"/>
              </w:rPr>
              <w:t>258,098</w:t>
            </w:r>
          </w:p>
        </w:tc>
        <w:tc>
          <w:tcPr>
            <w:tcW w:w="868" w:type="dxa"/>
            <w:vAlign w:val="center"/>
          </w:tcPr>
          <w:p w:rsidR="008654F8" w:rsidRPr="00AA77C7" w:rsidRDefault="008654F8" w:rsidP="009536F9">
            <w:pPr>
              <w:spacing w:before="60" w:after="60"/>
              <w:jc w:val="right"/>
              <w:rPr>
                <w:noProof/>
                <w:sz w:val="20"/>
              </w:rPr>
            </w:pPr>
            <w:r w:rsidRPr="00AA77C7">
              <w:rPr>
                <w:sz w:val="20"/>
              </w:rPr>
              <w:t>266,137</w:t>
            </w:r>
          </w:p>
        </w:tc>
        <w:tc>
          <w:tcPr>
            <w:tcW w:w="868" w:type="dxa"/>
            <w:vAlign w:val="center"/>
          </w:tcPr>
          <w:p w:rsidR="008654F8" w:rsidRPr="00AA77C7" w:rsidRDefault="008654F8" w:rsidP="009536F9">
            <w:pPr>
              <w:spacing w:before="60" w:after="60"/>
              <w:jc w:val="right"/>
              <w:rPr>
                <w:noProof/>
                <w:sz w:val="20"/>
              </w:rPr>
            </w:pPr>
            <w:r w:rsidRPr="00AA77C7">
              <w:rPr>
                <w:sz w:val="20"/>
              </w:rPr>
              <w:t>273,155</w:t>
            </w:r>
          </w:p>
        </w:tc>
        <w:tc>
          <w:tcPr>
            <w:tcW w:w="868" w:type="dxa"/>
            <w:vAlign w:val="center"/>
          </w:tcPr>
          <w:p w:rsidR="008654F8" w:rsidRPr="00AA77C7" w:rsidRDefault="008654F8" w:rsidP="005D43D3">
            <w:pPr>
              <w:spacing w:before="60" w:after="60"/>
              <w:jc w:val="center"/>
              <w:rPr>
                <w:sz w:val="20"/>
              </w:rPr>
            </w:pPr>
            <w:r w:rsidRPr="00AA77C7">
              <w:rPr>
                <w:sz w:val="20"/>
              </w:rPr>
              <w:t>278,596</w:t>
            </w:r>
          </w:p>
        </w:tc>
        <w:tc>
          <w:tcPr>
            <w:tcW w:w="877" w:type="dxa"/>
            <w:vAlign w:val="center"/>
          </w:tcPr>
          <w:p w:rsidR="008654F8" w:rsidRPr="00AA77C7" w:rsidRDefault="008654F8" w:rsidP="005D43D3">
            <w:pPr>
              <w:spacing w:before="60" w:after="60"/>
              <w:jc w:val="center"/>
              <w:rPr>
                <w:sz w:val="20"/>
              </w:rPr>
            </w:pPr>
            <w:r w:rsidRPr="00AA77C7">
              <w:rPr>
                <w:sz w:val="20"/>
              </w:rPr>
              <w:t>294,479</w:t>
            </w:r>
          </w:p>
        </w:tc>
        <w:tc>
          <w:tcPr>
            <w:tcW w:w="1292" w:type="dxa"/>
            <w:vAlign w:val="center"/>
          </w:tcPr>
          <w:p w:rsidR="008654F8" w:rsidRPr="00AA77C7" w:rsidRDefault="008654F8" w:rsidP="005D43D3">
            <w:pPr>
              <w:spacing w:before="60" w:after="60"/>
              <w:jc w:val="center"/>
              <w:rPr>
                <w:b/>
                <w:noProof/>
                <w:sz w:val="20"/>
              </w:rPr>
            </w:pPr>
            <w:r w:rsidRPr="00AA77C7">
              <w:rPr>
                <w:b/>
                <w:noProof/>
                <w:sz w:val="20"/>
              </w:rPr>
              <w:t>1 969,840</w:t>
            </w:r>
          </w:p>
        </w:tc>
      </w:tr>
    </w:tbl>
    <w:p w:rsidR="00DF167D" w:rsidRPr="00AA77C7" w:rsidRDefault="00DF167D" w:rsidP="00DF167D">
      <w:pPr>
        <w:rPr>
          <w:noProof/>
        </w:rPr>
        <w:sectPr w:rsidR="00DF167D" w:rsidRPr="00AA77C7" w:rsidSect="00DA02CA">
          <w:headerReference w:type="default" r:id="rId28"/>
          <w:footerReference w:type="default" r:id="rId29"/>
          <w:headerReference w:type="first" r:id="rId30"/>
          <w:footerReference w:type="first" r:id="rId31"/>
          <w:pgSz w:w="16840" w:h="11907" w:orient="landscape" w:code="9"/>
          <w:pgMar w:top="1134" w:right="1418" w:bottom="1134" w:left="1418" w:header="709" w:footer="709" w:gutter="0"/>
          <w:cols w:space="708"/>
          <w:docGrid w:linePitch="360"/>
        </w:sectPr>
      </w:pPr>
    </w:p>
    <w:p w:rsidR="00DF167D" w:rsidRPr="00AA77C7" w:rsidRDefault="00DF167D" w:rsidP="00DF167D">
      <w:pPr>
        <w:pStyle w:val="Nadpis3"/>
        <w:rPr>
          <w:bCs w:val="0"/>
          <w:noProof/>
          <w:szCs w:val="24"/>
        </w:rPr>
      </w:pPr>
      <w:r w:rsidRPr="00AA77C7">
        <w:lastRenderedPageBreak/>
        <w:t>Odhadovaný souhrnný dopad na prostředky správní povahy</w:t>
      </w:r>
    </w:p>
    <w:p w:rsidR="00DF167D" w:rsidRPr="00AA77C7" w:rsidRDefault="00DF167D" w:rsidP="00DF167D">
      <w:pPr>
        <w:pStyle w:val="ListDash1"/>
      </w:pPr>
      <w:r w:rsidRPr="00AA77C7">
        <w:sym w:font="Wingdings" w:char="F0A8"/>
      </w:r>
      <w:r w:rsidRPr="00AA77C7">
        <w:tab/>
        <w:t xml:space="preserve">Návrh/podnět nevyžaduje využití prostředků správní povahy. </w:t>
      </w:r>
    </w:p>
    <w:p w:rsidR="00DF167D" w:rsidRPr="00AA77C7" w:rsidRDefault="00DF167D" w:rsidP="00DF167D">
      <w:pPr>
        <w:pStyle w:val="ListDash1"/>
      </w:pPr>
      <w:r w:rsidRPr="00AA77C7">
        <w:sym w:font="Wingdings" w:char="F078"/>
      </w:r>
      <w:r w:rsidRPr="00AA77C7">
        <w:tab/>
        <w:t>Návrh/podnět vyžaduje využití prostředků správní povahy, jak je vysvětleno dále:</w:t>
      </w:r>
    </w:p>
    <w:p w:rsidR="00DF167D" w:rsidRPr="00AA77C7" w:rsidRDefault="00DF167D" w:rsidP="00DF167D">
      <w:pPr>
        <w:rPr>
          <w:noProof/>
          <w:sz w:val="20"/>
        </w:rPr>
      </w:pPr>
      <w:r w:rsidRPr="00AA77C7">
        <w:rPr>
          <w:noProof/>
          <w:sz w:val="20"/>
        </w:rPr>
        <w:t>v milionech EUR (zaokrouhleno na tři desetinná místa)</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CB55E2" w:rsidRPr="00AA77C7" w:rsidTr="009536F9">
        <w:trPr>
          <w:trHeight w:val="585"/>
        </w:trPr>
        <w:tc>
          <w:tcPr>
            <w:tcW w:w="1980" w:type="dxa"/>
            <w:vAlign w:val="center"/>
          </w:tcPr>
          <w:p w:rsidR="00DF167D" w:rsidRPr="00AA77C7" w:rsidRDefault="00DF167D" w:rsidP="009536F9">
            <w:pPr>
              <w:spacing w:before="60" w:after="60" w:line="200" w:lineRule="exact"/>
              <w:jc w:val="center"/>
              <w:rPr>
                <w:b/>
                <w:noProof/>
                <w:sz w:val="16"/>
                <w:szCs w:val="16"/>
              </w:rPr>
            </w:pPr>
            <w:r w:rsidRPr="00AA77C7">
              <w:rPr>
                <w:b/>
                <w:noProof/>
                <w:sz w:val="16"/>
              </w:rPr>
              <w:t>Roky</w:t>
            </w:r>
          </w:p>
        </w:tc>
        <w:tc>
          <w:tcPr>
            <w:tcW w:w="1080" w:type="dxa"/>
            <w:vAlign w:val="center"/>
          </w:tcPr>
          <w:p w:rsidR="00DF167D" w:rsidRPr="00AA77C7" w:rsidRDefault="00DF167D" w:rsidP="009536F9">
            <w:pPr>
              <w:spacing w:before="60" w:after="60" w:line="200" w:lineRule="exact"/>
              <w:jc w:val="center"/>
              <w:rPr>
                <w:noProof/>
                <w:sz w:val="16"/>
                <w:szCs w:val="16"/>
              </w:rPr>
            </w:pPr>
            <w:r w:rsidRPr="00AA77C7">
              <w:rPr>
                <w:b/>
                <w:noProof/>
                <w:sz w:val="20"/>
              </w:rPr>
              <w:t>2021</w:t>
            </w:r>
          </w:p>
        </w:tc>
        <w:tc>
          <w:tcPr>
            <w:tcW w:w="1080" w:type="dxa"/>
            <w:vAlign w:val="center"/>
          </w:tcPr>
          <w:p w:rsidR="00DF167D" w:rsidRPr="00AA77C7" w:rsidRDefault="00DF167D" w:rsidP="009536F9">
            <w:pPr>
              <w:spacing w:before="60" w:after="60" w:line="200" w:lineRule="exact"/>
              <w:jc w:val="center"/>
              <w:rPr>
                <w:noProof/>
                <w:sz w:val="16"/>
                <w:szCs w:val="16"/>
              </w:rPr>
            </w:pPr>
            <w:r w:rsidRPr="00AA77C7">
              <w:rPr>
                <w:b/>
                <w:noProof/>
                <w:sz w:val="20"/>
              </w:rPr>
              <w:t>2022</w:t>
            </w:r>
          </w:p>
        </w:tc>
        <w:tc>
          <w:tcPr>
            <w:tcW w:w="1080" w:type="dxa"/>
            <w:vAlign w:val="center"/>
          </w:tcPr>
          <w:p w:rsidR="00DF167D" w:rsidRPr="00AA77C7" w:rsidRDefault="00DF167D" w:rsidP="009536F9">
            <w:pPr>
              <w:spacing w:before="60" w:after="60" w:line="200" w:lineRule="exact"/>
              <w:jc w:val="center"/>
              <w:rPr>
                <w:noProof/>
                <w:sz w:val="16"/>
                <w:szCs w:val="16"/>
              </w:rPr>
            </w:pPr>
            <w:r w:rsidRPr="00AA77C7">
              <w:rPr>
                <w:b/>
                <w:noProof/>
                <w:sz w:val="20"/>
              </w:rPr>
              <w:t>2023</w:t>
            </w:r>
          </w:p>
        </w:tc>
        <w:tc>
          <w:tcPr>
            <w:tcW w:w="1080" w:type="dxa"/>
            <w:vAlign w:val="center"/>
          </w:tcPr>
          <w:p w:rsidR="00DF167D" w:rsidRPr="00AA77C7" w:rsidRDefault="00DF167D" w:rsidP="009536F9">
            <w:pPr>
              <w:spacing w:before="60" w:after="60" w:line="200" w:lineRule="exact"/>
              <w:jc w:val="center"/>
              <w:rPr>
                <w:noProof/>
                <w:sz w:val="16"/>
                <w:szCs w:val="16"/>
              </w:rPr>
            </w:pPr>
            <w:r w:rsidRPr="00AA77C7">
              <w:rPr>
                <w:b/>
                <w:noProof/>
                <w:sz w:val="20"/>
              </w:rPr>
              <w:t>2024</w:t>
            </w:r>
          </w:p>
        </w:tc>
        <w:tc>
          <w:tcPr>
            <w:tcW w:w="1080" w:type="dxa"/>
            <w:vAlign w:val="center"/>
          </w:tcPr>
          <w:p w:rsidR="00DF167D" w:rsidRPr="00AA77C7" w:rsidRDefault="00DF167D" w:rsidP="009536F9">
            <w:pPr>
              <w:spacing w:line="200" w:lineRule="exact"/>
              <w:jc w:val="center"/>
              <w:rPr>
                <w:b/>
                <w:noProof/>
                <w:sz w:val="16"/>
                <w:szCs w:val="16"/>
              </w:rPr>
            </w:pPr>
            <w:r w:rsidRPr="00AA77C7">
              <w:rPr>
                <w:b/>
                <w:noProof/>
                <w:sz w:val="18"/>
              </w:rPr>
              <w:t>2025</w:t>
            </w:r>
          </w:p>
        </w:tc>
        <w:tc>
          <w:tcPr>
            <w:tcW w:w="1080" w:type="dxa"/>
            <w:vAlign w:val="center"/>
          </w:tcPr>
          <w:p w:rsidR="00DF167D" w:rsidRPr="00AA77C7" w:rsidRDefault="00DF167D" w:rsidP="009536F9">
            <w:pPr>
              <w:spacing w:line="200" w:lineRule="exact"/>
              <w:jc w:val="center"/>
              <w:rPr>
                <w:b/>
                <w:noProof/>
                <w:sz w:val="16"/>
                <w:szCs w:val="16"/>
              </w:rPr>
            </w:pPr>
            <w:r w:rsidRPr="00AA77C7">
              <w:rPr>
                <w:b/>
                <w:noProof/>
                <w:sz w:val="18"/>
              </w:rPr>
              <w:t>2026</w:t>
            </w:r>
          </w:p>
        </w:tc>
        <w:tc>
          <w:tcPr>
            <w:tcW w:w="1080" w:type="dxa"/>
            <w:vAlign w:val="center"/>
          </w:tcPr>
          <w:p w:rsidR="00DF167D" w:rsidRPr="00AA77C7" w:rsidRDefault="00DF167D" w:rsidP="009536F9">
            <w:pPr>
              <w:spacing w:line="200" w:lineRule="exact"/>
              <w:jc w:val="center"/>
              <w:rPr>
                <w:b/>
                <w:noProof/>
                <w:sz w:val="16"/>
                <w:szCs w:val="16"/>
              </w:rPr>
            </w:pPr>
            <w:r w:rsidRPr="00AA77C7">
              <w:rPr>
                <w:b/>
                <w:noProof/>
                <w:sz w:val="18"/>
              </w:rPr>
              <w:t>2027</w:t>
            </w:r>
          </w:p>
        </w:tc>
        <w:tc>
          <w:tcPr>
            <w:tcW w:w="1080" w:type="dxa"/>
            <w:vAlign w:val="center"/>
          </w:tcPr>
          <w:p w:rsidR="00DF167D" w:rsidRPr="00AA77C7" w:rsidRDefault="00DF167D" w:rsidP="009536F9">
            <w:pPr>
              <w:spacing w:before="60" w:after="60" w:line="200" w:lineRule="exact"/>
              <w:jc w:val="center"/>
              <w:rPr>
                <w:b/>
                <w:noProof/>
                <w:sz w:val="16"/>
                <w:szCs w:val="16"/>
              </w:rPr>
            </w:pPr>
            <w:r w:rsidRPr="00AA77C7">
              <w:rPr>
                <w:b/>
                <w:noProof/>
                <w:sz w:val="16"/>
              </w:rPr>
              <w:t>CELKEM</w:t>
            </w:r>
          </w:p>
        </w:tc>
      </w:tr>
    </w:tbl>
    <w:p w:rsidR="00DF167D" w:rsidRPr="00AA77C7" w:rsidRDefault="00DF167D" w:rsidP="00DF167D">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CB55E2" w:rsidRPr="00AA77C7" w:rsidTr="009536F9">
        <w:trPr>
          <w:trHeight w:val="585"/>
        </w:trPr>
        <w:tc>
          <w:tcPr>
            <w:tcW w:w="1980" w:type="dxa"/>
            <w:shd w:val="clear" w:color="auto" w:fill="CCCCCC"/>
            <w:vAlign w:val="center"/>
          </w:tcPr>
          <w:p w:rsidR="00DF167D" w:rsidRPr="00AA77C7" w:rsidRDefault="00DF167D" w:rsidP="009536F9">
            <w:pPr>
              <w:spacing w:before="60" w:after="60" w:line="200" w:lineRule="exact"/>
              <w:jc w:val="center"/>
              <w:rPr>
                <w:b/>
                <w:noProof/>
                <w:sz w:val="16"/>
                <w:szCs w:val="16"/>
              </w:rPr>
            </w:pPr>
            <w:r w:rsidRPr="00AA77C7">
              <w:rPr>
                <w:b/>
                <w:noProof/>
                <w:sz w:val="16"/>
              </w:rPr>
              <w:t>OKRUH 7</w:t>
            </w:r>
            <w:r w:rsidRPr="00AA77C7">
              <w:rPr>
                <w:noProof/>
                <w:sz w:val="22"/>
              </w:rPr>
              <w:br/>
            </w:r>
            <w:r w:rsidRPr="00AA77C7">
              <w:rPr>
                <w:b/>
                <w:noProof/>
                <w:sz w:val="16"/>
              </w:rPr>
              <w:t>víceletého finančního rámce</w:t>
            </w:r>
          </w:p>
        </w:tc>
        <w:tc>
          <w:tcPr>
            <w:tcW w:w="1080" w:type="dxa"/>
            <w:vAlign w:val="center"/>
          </w:tcPr>
          <w:p w:rsidR="00DF167D" w:rsidRPr="00AA77C7" w:rsidRDefault="00DF167D" w:rsidP="009536F9">
            <w:pPr>
              <w:spacing w:before="60" w:after="60" w:line="200" w:lineRule="exact"/>
              <w:jc w:val="right"/>
              <w:rPr>
                <w:noProof/>
                <w:sz w:val="16"/>
                <w:szCs w:val="16"/>
              </w:rPr>
            </w:pPr>
          </w:p>
        </w:tc>
        <w:tc>
          <w:tcPr>
            <w:tcW w:w="1080" w:type="dxa"/>
            <w:vAlign w:val="center"/>
          </w:tcPr>
          <w:p w:rsidR="00DF167D" w:rsidRPr="00AA77C7" w:rsidRDefault="00DF167D" w:rsidP="009536F9">
            <w:pPr>
              <w:spacing w:before="60" w:after="60" w:line="200" w:lineRule="exact"/>
              <w:jc w:val="right"/>
              <w:rPr>
                <w:noProof/>
                <w:sz w:val="16"/>
                <w:szCs w:val="16"/>
              </w:rPr>
            </w:pPr>
          </w:p>
        </w:tc>
        <w:tc>
          <w:tcPr>
            <w:tcW w:w="1080" w:type="dxa"/>
            <w:vAlign w:val="center"/>
          </w:tcPr>
          <w:p w:rsidR="00DF167D" w:rsidRPr="00AA77C7" w:rsidRDefault="00DF167D" w:rsidP="009536F9">
            <w:pPr>
              <w:spacing w:before="60" w:after="60" w:line="200" w:lineRule="exact"/>
              <w:jc w:val="right"/>
              <w:rPr>
                <w:noProof/>
                <w:sz w:val="16"/>
                <w:szCs w:val="16"/>
              </w:rPr>
            </w:pPr>
          </w:p>
        </w:tc>
        <w:tc>
          <w:tcPr>
            <w:tcW w:w="1080" w:type="dxa"/>
            <w:vAlign w:val="center"/>
          </w:tcPr>
          <w:p w:rsidR="00DF167D" w:rsidRPr="00AA77C7" w:rsidRDefault="00DF167D" w:rsidP="009536F9">
            <w:pPr>
              <w:spacing w:before="60" w:after="60" w:line="200" w:lineRule="exact"/>
              <w:jc w:val="right"/>
              <w:rPr>
                <w:noProof/>
                <w:sz w:val="16"/>
                <w:szCs w:val="16"/>
              </w:rPr>
            </w:pPr>
          </w:p>
        </w:tc>
        <w:tc>
          <w:tcPr>
            <w:tcW w:w="1080" w:type="dxa"/>
            <w:vAlign w:val="center"/>
          </w:tcPr>
          <w:p w:rsidR="00DF167D" w:rsidRPr="00AA77C7" w:rsidRDefault="00DF167D" w:rsidP="009536F9">
            <w:pPr>
              <w:spacing w:before="60" w:after="60" w:line="200" w:lineRule="exact"/>
              <w:jc w:val="right"/>
              <w:rPr>
                <w:noProof/>
                <w:sz w:val="16"/>
                <w:szCs w:val="16"/>
              </w:rPr>
            </w:pPr>
          </w:p>
        </w:tc>
        <w:tc>
          <w:tcPr>
            <w:tcW w:w="1080" w:type="dxa"/>
            <w:vAlign w:val="center"/>
          </w:tcPr>
          <w:p w:rsidR="00DF167D" w:rsidRPr="00AA77C7" w:rsidRDefault="00DF167D" w:rsidP="009536F9">
            <w:pPr>
              <w:spacing w:before="60" w:after="60" w:line="200" w:lineRule="exact"/>
              <w:jc w:val="right"/>
              <w:rPr>
                <w:noProof/>
                <w:sz w:val="16"/>
                <w:szCs w:val="16"/>
              </w:rPr>
            </w:pPr>
          </w:p>
        </w:tc>
        <w:tc>
          <w:tcPr>
            <w:tcW w:w="1080" w:type="dxa"/>
            <w:vAlign w:val="center"/>
          </w:tcPr>
          <w:p w:rsidR="00DF167D" w:rsidRPr="00AA77C7" w:rsidRDefault="00DF167D" w:rsidP="009536F9">
            <w:pPr>
              <w:spacing w:before="60" w:after="60" w:line="200" w:lineRule="exact"/>
              <w:jc w:val="right"/>
              <w:rPr>
                <w:b/>
                <w:noProof/>
                <w:sz w:val="16"/>
                <w:szCs w:val="16"/>
              </w:rPr>
            </w:pPr>
          </w:p>
        </w:tc>
        <w:tc>
          <w:tcPr>
            <w:tcW w:w="1080" w:type="dxa"/>
            <w:vAlign w:val="center"/>
          </w:tcPr>
          <w:p w:rsidR="00DF167D" w:rsidRPr="00AA77C7" w:rsidRDefault="00DF167D" w:rsidP="009536F9">
            <w:pPr>
              <w:spacing w:before="60" w:after="60" w:line="200" w:lineRule="exact"/>
              <w:jc w:val="right"/>
              <w:rPr>
                <w:b/>
                <w:noProof/>
                <w:sz w:val="16"/>
                <w:szCs w:val="16"/>
              </w:rPr>
            </w:pPr>
          </w:p>
        </w:tc>
      </w:tr>
      <w:tr w:rsidR="00CB55E2" w:rsidRPr="00AA77C7" w:rsidTr="009536F9">
        <w:trPr>
          <w:trHeight w:val="585"/>
        </w:trPr>
        <w:tc>
          <w:tcPr>
            <w:tcW w:w="1980" w:type="dxa"/>
            <w:vAlign w:val="center"/>
          </w:tcPr>
          <w:p w:rsidR="004B7D3B" w:rsidRPr="00AA77C7" w:rsidRDefault="004B7D3B" w:rsidP="009536F9">
            <w:pPr>
              <w:spacing w:before="60" w:after="60" w:line="200" w:lineRule="exact"/>
              <w:ind w:left="72"/>
              <w:jc w:val="left"/>
              <w:rPr>
                <w:noProof/>
                <w:sz w:val="16"/>
                <w:szCs w:val="16"/>
              </w:rPr>
            </w:pPr>
            <w:r w:rsidRPr="00AA77C7">
              <w:rPr>
                <w:noProof/>
                <w:sz w:val="16"/>
              </w:rPr>
              <w:t xml:space="preserve">Lidské zdroje </w:t>
            </w:r>
          </w:p>
        </w:tc>
        <w:tc>
          <w:tcPr>
            <w:tcW w:w="1080" w:type="dxa"/>
            <w:vAlign w:val="center"/>
          </w:tcPr>
          <w:p w:rsidR="004B7D3B" w:rsidRPr="00AA77C7" w:rsidRDefault="004B7D3B" w:rsidP="005D43D3">
            <w:pPr>
              <w:spacing w:before="20" w:after="20"/>
              <w:jc w:val="right"/>
              <w:rPr>
                <w:sz w:val="20"/>
              </w:rPr>
            </w:pPr>
            <w:r w:rsidRPr="00AA77C7">
              <w:rPr>
                <w:noProof/>
                <w:sz w:val="20"/>
              </w:rPr>
              <w:t>14,301</w:t>
            </w:r>
          </w:p>
        </w:tc>
        <w:tc>
          <w:tcPr>
            <w:tcW w:w="1080" w:type="dxa"/>
            <w:vAlign w:val="center"/>
          </w:tcPr>
          <w:p w:rsidR="004B7D3B" w:rsidRPr="00AA77C7" w:rsidRDefault="004B7D3B" w:rsidP="005D43D3">
            <w:pPr>
              <w:spacing w:before="20" w:after="20"/>
              <w:jc w:val="right"/>
              <w:rPr>
                <w:sz w:val="20"/>
              </w:rPr>
            </w:pPr>
            <w:r w:rsidRPr="00AA77C7">
              <w:rPr>
                <w:noProof/>
                <w:sz w:val="20"/>
              </w:rPr>
              <w:t>15,601</w:t>
            </w:r>
          </w:p>
        </w:tc>
        <w:tc>
          <w:tcPr>
            <w:tcW w:w="1080" w:type="dxa"/>
            <w:vAlign w:val="center"/>
          </w:tcPr>
          <w:p w:rsidR="004B7D3B" w:rsidRPr="00AA77C7" w:rsidRDefault="004B7D3B" w:rsidP="005D43D3">
            <w:pPr>
              <w:spacing w:before="20" w:after="20"/>
              <w:jc w:val="right"/>
              <w:rPr>
                <w:sz w:val="20"/>
              </w:rPr>
            </w:pPr>
            <w:r w:rsidRPr="00AA77C7">
              <w:rPr>
                <w:noProof/>
                <w:sz w:val="20"/>
              </w:rPr>
              <w:t>16,745</w:t>
            </w:r>
          </w:p>
        </w:tc>
        <w:tc>
          <w:tcPr>
            <w:tcW w:w="1080" w:type="dxa"/>
            <w:vAlign w:val="center"/>
          </w:tcPr>
          <w:p w:rsidR="004B7D3B" w:rsidRPr="00AA77C7" w:rsidRDefault="004B7D3B" w:rsidP="005D43D3">
            <w:pPr>
              <w:spacing w:before="20" w:after="20"/>
              <w:jc w:val="right"/>
              <w:rPr>
                <w:sz w:val="20"/>
              </w:rPr>
            </w:pPr>
            <w:r w:rsidRPr="00AA77C7">
              <w:rPr>
                <w:noProof/>
                <w:sz w:val="20"/>
              </w:rPr>
              <w:t>16,745</w:t>
            </w:r>
          </w:p>
        </w:tc>
        <w:tc>
          <w:tcPr>
            <w:tcW w:w="1080" w:type="dxa"/>
            <w:vAlign w:val="center"/>
          </w:tcPr>
          <w:p w:rsidR="004B7D3B" w:rsidRPr="00AA77C7" w:rsidRDefault="004B7D3B" w:rsidP="005D43D3">
            <w:pPr>
              <w:spacing w:before="20" w:after="20"/>
              <w:jc w:val="right"/>
              <w:rPr>
                <w:sz w:val="20"/>
              </w:rPr>
            </w:pPr>
            <w:r w:rsidRPr="00AA77C7">
              <w:rPr>
                <w:noProof/>
                <w:sz w:val="20"/>
              </w:rPr>
              <w:t>16,745</w:t>
            </w:r>
          </w:p>
        </w:tc>
        <w:tc>
          <w:tcPr>
            <w:tcW w:w="1080" w:type="dxa"/>
            <w:vAlign w:val="center"/>
          </w:tcPr>
          <w:p w:rsidR="004B7D3B" w:rsidRPr="00AA77C7" w:rsidRDefault="004B7D3B" w:rsidP="005D43D3">
            <w:pPr>
              <w:spacing w:before="20" w:after="20"/>
              <w:jc w:val="right"/>
              <w:rPr>
                <w:sz w:val="20"/>
              </w:rPr>
            </w:pPr>
            <w:r w:rsidRPr="00AA77C7">
              <w:rPr>
                <w:noProof/>
                <w:sz w:val="20"/>
              </w:rPr>
              <w:t>16,745</w:t>
            </w:r>
          </w:p>
        </w:tc>
        <w:tc>
          <w:tcPr>
            <w:tcW w:w="1080" w:type="dxa"/>
            <w:vAlign w:val="center"/>
          </w:tcPr>
          <w:p w:rsidR="004B7D3B" w:rsidRPr="00AA77C7" w:rsidRDefault="004B7D3B" w:rsidP="005D43D3">
            <w:pPr>
              <w:spacing w:before="20" w:after="20"/>
              <w:jc w:val="right"/>
              <w:rPr>
                <w:sz w:val="20"/>
              </w:rPr>
            </w:pPr>
            <w:r w:rsidRPr="00AA77C7">
              <w:rPr>
                <w:noProof/>
                <w:sz w:val="20"/>
              </w:rPr>
              <w:t>16,745</w:t>
            </w:r>
          </w:p>
        </w:tc>
        <w:tc>
          <w:tcPr>
            <w:tcW w:w="1080" w:type="dxa"/>
            <w:vAlign w:val="center"/>
          </w:tcPr>
          <w:p w:rsidR="004B7D3B" w:rsidRPr="00AA77C7" w:rsidRDefault="004B7D3B" w:rsidP="009536F9">
            <w:pPr>
              <w:spacing w:before="60" w:after="60" w:line="200" w:lineRule="exact"/>
              <w:jc w:val="right"/>
              <w:rPr>
                <w:b/>
                <w:noProof/>
                <w:sz w:val="16"/>
                <w:szCs w:val="16"/>
              </w:rPr>
            </w:pPr>
            <w:r w:rsidRPr="00AA77C7">
              <w:rPr>
                <w:noProof/>
                <w:sz w:val="20"/>
              </w:rPr>
              <w:t>113,627</w:t>
            </w:r>
          </w:p>
        </w:tc>
      </w:tr>
      <w:tr w:rsidR="00CB55E2" w:rsidRPr="00AA77C7" w:rsidTr="009536F9">
        <w:trPr>
          <w:trHeight w:val="585"/>
        </w:trPr>
        <w:tc>
          <w:tcPr>
            <w:tcW w:w="1980" w:type="dxa"/>
            <w:vAlign w:val="center"/>
          </w:tcPr>
          <w:p w:rsidR="004B7D3B" w:rsidRPr="00AA77C7" w:rsidRDefault="004B7D3B" w:rsidP="009536F9">
            <w:pPr>
              <w:spacing w:before="60" w:after="60" w:line="200" w:lineRule="exact"/>
              <w:ind w:left="72"/>
              <w:jc w:val="left"/>
              <w:rPr>
                <w:noProof/>
                <w:sz w:val="16"/>
                <w:szCs w:val="16"/>
              </w:rPr>
            </w:pPr>
            <w:r w:rsidRPr="00AA77C7">
              <w:rPr>
                <w:noProof/>
                <w:sz w:val="16"/>
              </w:rPr>
              <w:t xml:space="preserve">Ostatní správní výdaje </w:t>
            </w:r>
          </w:p>
        </w:tc>
        <w:tc>
          <w:tcPr>
            <w:tcW w:w="1080" w:type="dxa"/>
            <w:vAlign w:val="center"/>
          </w:tcPr>
          <w:p w:rsidR="004B7D3B" w:rsidRPr="00AA77C7" w:rsidRDefault="004B7D3B" w:rsidP="009536F9">
            <w:pPr>
              <w:spacing w:before="60" w:after="60" w:line="200" w:lineRule="exact"/>
              <w:jc w:val="right"/>
              <w:rPr>
                <w:sz w:val="20"/>
              </w:rPr>
            </w:pPr>
            <w:r w:rsidRPr="00AA77C7">
              <w:rPr>
                <w:sz w:val="20"/>
              </w:rPr>
              <w:t>0,888</w:t>
            </w:r>
          </w:p>
        </w:tc>
        <w:tc>
          <w:tcPr>
            <w:tcW w:w="1080" w:type="dxa"/>
            <w:vAlign w:val="center"/>
          </w:tcPr>
          <w:p w:rsidR="004B7D3B" w:rsidRPr="00AA77C7" w:rsidRDefault="004B7D3B" w:rsidP="009536F9">
            <w:pPr>
              <w:spacing w:before="60" w:after="60" w:line="200" w:lineRule="exact"/>
              <w:jc w:val="right"/>
              <w:rPr>
                <w:sz w:val="20"/>
              </w:rPr>
            </w:pPr>
            <w:r w:rsidRPr="00AA77C7">
              <w:rPr>
                <w:sz w:val="20"/>
              </w:rPr>
              <w:t>0,888</w:t>
            </w:r>
          </w:p>
        </w:tc>
        <w:tc>
          <w:tcPr>
            <w:tcW w:w="1080" w:type="dxa"/>
            <w:vAlign w:val="center"/>
          </w:tcPr>
          <w:p w:rsidR="004B7D3B" w:rsidRPr="00AA77C7" w:rsidRDefault="004B7D3B" w:rsidP="009536F9">
            <w:pPr>
              <w:spacing w:before="60" w:after="60" w:line="200" w:lineRule="exact"/>
              <w:jc w:val="right"/>
              <w:rPr>
                <w:sz w:val="20"/>
              </w:rPr>
            </w:pPr>
            <w:r w:rsidRPr="00AA77C7">
              <w:rPr>
                <w:sz w:val="20"/>
              </w:rPr>
              <w:t>0,888</w:t>
            </w:r>
          </w:p>
        </w:tc>
        <w:tc>
          <w:tcPr>
            <w:tcW w:w="1080" w:type="dxa"/>
            <w:vAlign w:val="center"/>
          </w:tcPr>
          <w:p w:rsidR="004B7D3B" w:rsidRPr="00AA77C7" w:rsidRDefault="004B7D3B" w:rsidP="009536F9">
            <w:pPr>
              <w:spacing w:before="60" w:after="60" w:line="200" w:lineRule="exact"/>
              <w:jc w:val="right"/>
              <w:rPr>
                <w:sz w:val="20"/>
              </w:rPr>
            </w:pPr>
            <w:r w:rsidRPr="00AA77C7">
              <w:rPr>
                <w:sz w:val="20"/>
              </w:rPr>
              <w:t>0,888</w:t>
            </w:r>
          </w:p>
        </w:tc>
        <w:tc>
          <w:tcPr>
            <w:tcW w:w="1080" w:type="dxa"/>
            <w:vAlign w:val="center"/>
          </w:tcPr>
          <w:p w:rsidR="004B7D3B" w:rsidRPr="00AA77C7" w:rsidRDefault="004B7D3B" w:rsidP="009536F9">
            <w:pPr>
              <w:spacing w:before="60" w:after="60" w:line="200" w:lineRule="exact"/>
              <w:jc w:val="right"/>
              <w:rPr>
                <w:sz w:val="20"/>
              </w:rPr>
            </w:pPr>
            <w:r w:rsidRPr="00AA77C7">
              <w:rPr>
                <w:sz w:val="20"/>
              </w:rPr>
              <w:t>0,888</w:t>
            </w:r>
          </w:p>
        </w:tc>
        <w:tc>
          <w:tcPr>
            <w:tcW w:w="1080" w:type="dxa"/>
            <w:vAlign w:val="center"/>
          </w:tcPr>
          <w:p w:rsidR="004B7D3B" w:rsidRPr="00AA77C7" w:rsidRDefault="004B7D3B" w:rsidP="009536F9">
            <w:pPr>
              <w:spacing w:before="60" w:after="60" w:line="200" w:lineRule="exact"/>
              <w:jc w:val="right"/>
              <w:rPr>
                <w:sz w:val="20"/>
              </w:rPr>
            </w:pPr>
            <w:r w:rsidRPr="00AA77C7">
              <w:rPr>
                <w:sz w:val="20"/>
              </w:rPr>
              <w:t>0,888</w:t>
            </w:r>
          </w:p>
        </w:tc>
        <w:tc>
          <w:tcPr>
            <w:tcW w:w="1080" w:type="dxa"/>
            <w:vAlign w:val="center"/>
          </w:tcPr>
          <w:p w:rsidR="004B7D3B" w:rsidRPr="00AA77C7" w:rsidRDefault="004B7D3B" w:rsidP="009536F9">
            <w:pPr>
              <w:spacing w:before="60" w:after="60" w:line="200" w:lineRule="exact"/>
              <w:jc w:val="right"/>
              <w:rPr>
                <w:sz w:val="20"/>
              </w:rPr>
            </w:pPr>
            <w:r w:rsidRPr="00AA77C7">
              <w:rPr>
                <w:sz w:val="20"/>
              </w:rPr>
              <w:t>0,888</w:t>
            </w:r>
          </w:p>
        </w:tc>
        <w:tc>
          <w:tcPr>
            <w:tcW w:w="1080" w:type="dxa"/>
            <w:vAlign w:val="center"/>
          </w:tcPr>
          <w:p w:rsidR="004B7D3B" w:rsidRPr="00AA77C7" w:rsidRDefault="004B7D3B" w:rsidP="009536F9">
            <w:pPr>
              <w:spacing w:before="60" w:after="60" w:line="200" w:lineRule="exact"/>
              <w:jc w:val="right"/>
              <w:rPr>
                <w:sz w:val="20"/>
              </w:rPr>
            </w:pPr>
            <w:r w:rsidRPr="00AA77C7">
              <w:rPr>
                <w:sz w:val="20"/>
              </w:rPr>
              <w:t>6,213</w:t>
            </w:r>
          </w:p>
        </w:tc>
      </w:tr>
      <w:tr w:rsidR="00CB55E2" w:rsidRPr="00AA77C7" w:rsidTr="009536F9">
        <w:trPr>
          <w:trHeight w:val="585"/>
        </w:trPr>
        <w:tc>
          <w:tcPr>
            <w:tcW w:w="1980" w:type="dxa"/>
            <w:shd w:val="clear" w:color="auto" w:fill="CCCCCC"/>
            <w:vAlign w:val="center"/>
          </w:tcPr>
          <w:p w:rsidR="004B7D3B" w:rsidRPr="00AA77C7" w:rsidRDefault="004B7D3B" w:rsidP="009536F9">
            <w:pPr>
              <w:spacing w:before="60" w:after="60" w:line="200" w:lineRule="exact"/>
              <w:jc w:val="center"/>
              <w:rPr>
                <w:b/>
                <w:noProof/>
                <w:sz w:val="16"/>
                <w:szCs w:val="16"/>
              </w:rPr>
            </w:pPr>
            <w:r w:rsidRPr="00AA77C7">
              <w:rPr>
                <w:b/>
                <w:noProof/>
                <w:sz w:val="16"/>
              </w:rPr>
              <w:t>Mezisoučet za OKRUH 7</w:t>
            </w:r>
            <w:r w:rsidRPr="00AA77C7">
              <w:rPr>
                <w:noProof/>
                <w:sz w:val="22"/>
              </w:rPr>
              <w:br/>
            </w:r>
            <w:r w:rsidRPr="00AA77C7">
              <w:rPr>
                <w:b/>
                <w:noProof/>
                <w:sz w:val="16"/>
              </w:rPr>
              <w:t xml:space="preserve">víceletého finančního rámce </w:t>
            </w:r>
          </w:p>
        </w:tc>
        <w:tc>
          <w:tcPr>
            <w:tcW w:w="1080" w:type="dxa"/>
            <w:vAlign w:val="center"/>
          </w:tcPr>
          <w:p w:rsidR="004B7D3B" w:rsidRPr="00AA77C7" w:rsidRDefault="004B7D3B" w:rsidP="005D43D3">
            <w:pPr>
              <w:jc w:val="right"/>
              <w:rPr>
                <w:b/>
                <w:sz w:val="22"/>
              </w:rPr>
            </w:pPr>
            <w:r w:rsidRPr="00AA77C7">
              <w:rPr>
                <w:sz w:val="20"/>
              </w:rPr>
              <w:t>15,189</w:t>
            </w:r>
          </w:p>
        </w:tc>
        <w:tc>
          <w:tcPr>
            <w:tcW w:w="1080" w:type="dxa"/>
            <w:vAlign w:val="center"/>
          </w:tcPr>
          <w:p w:rsidR="004B7D3B" w:rsidRPr="00AA77C7" w:rsidRDefault="004B7D3B" w:rsidP="005D43D3">
            <w:pPr>
              <w:jc w:val="right"/>
              <w:rPr>
                <w:b/>
                <w:sz w:val="22"/>
              </w:rPr>
            </w:pPr>
            <w:r w:rsidRPr="00AA77C7">
              <w:rPr>
                <w:sz w:val="20"/>
              </w:rPr>
              <w:t>16,489</w:t>
            </w:r>
          </w:p>
        </w:tc>
        <w:tc>
          <w:tcPr>
            <w:tcW w:w="1080" w:type="dxa"/>
            <w:vAlign w:val="center"/>
          </w:tcPr>
          <w:p w:rsidR="004B7D3B" w:rsidRPr="00AA77C7" w:rsidRDefault="004B7D3B" w:rsidP="005D43D3">
            <w:pPr>
              <w:jc w:val="right"/>
              <w:rPr>
                <w:b/>
                <w:sz w:val="22"/>
              </w:rPr>
            </w:pPr>
            <w:r w:rsidRPr="00AA77C7">
              <w:rPr>
                <w:sz w:val="20"/>
              </w:rPr>
              <w:t>17,633</w:t>
            </w:r>
          </w:p>
        </w:tc>
        <w:tc>
          <w:tcPr>
            <w:tcW w:w="1080" w:type="dxa"/>
            <w:vAlign w:val="center"/>
          </w:tcPr>
          <w:p w:rsidR="004B7D3B" w:rsidRPr="00AA77C7" w:rsidRDefault="004B7D3B" w:rsidP="005D43D3">
            <w:pPr>
              <w:jc w:val="right"/>
              <w:rPr>
                <w:b/>
                <w:sz w:val="22"/>
              </w:rPr>
            </w:pPr>
            <w:r w:rsidRPr="00AA77C7">
              <w:rPr>
                <w:sz w:val="20"/>
              </w:rPr>
              <w:t>17,633</w:t>
            </w:r>
          </w:p>
        </w:tc>
        <w:tc>
          <w:tcPr>
            <w:tcW w:w="1080" w:type="dxa"/>
            <w:vAlign w:val="center"/>
          </w:tcPr>
          <w:p w:rsidR="004B7D3B" w:rsidRPr="00AA77C7" w:rsidRDefault="004B7D3B" w:rsidP="005D43D3">
            <w:pPr>
              <w:jc w:val="right"/>
              <w:rPr>
                <w:b/>
                <w:sz w:val="22"/>
              </w:rPr>
            </w:pPr>
            <w:r w:rsidRPr="00AA77C7">
              <w:rPr>
                <w:sz w:val="20"/>
              </w:rPr>
              <w:t>17,633</w:t>
            </w:r>
          </w:p>
        </w:tc>
        <w:tc>
          <w:tcPr>
            <w:tcW w:w="1080" w:type="dxa"/>
            <w:vAlign w:val="center"/>
          </w:tcPr>
          <w:p w:rsidR="004B7D3B" w:rsidRPr="00AA77C7" w:rsidRDefault="004B7D3B" w:rsidP="005D43D3">
            <w:pPr>
              <w:jc w:val="right"/>
              <w:rPr>
                <w:b/>
                <w:sz w:val="22"/>
              </w:rPr>
            </w:pPr>
            <w:r w:rsidRPr="00AA77C7">
              <w:rPr>
                <w:sz w:val="20"/>
              </w:rPr>
              <w:t>17,633</w:t>
            </w:r>
          </w:p>
        </w:tc>
        <w:tc>
          <w:tcPr>
            <w:tcW w:w="1080" w:type="dxa"/>
            <w:vAlign w:val="center"/>
          </w:tcPr>
          <w:p w:rsidR="004B7D3B" w:rsidRPr="00AA77C7" w:rsidRDefault="004B7D3B" w:rsidP="005D43D3">
            <w:pPr>
              <w:jc w:val="right"/>
              <w:rPr>
                <w:b/>
                <w:sz w:val="22"/>
              </w:rPr>
            </w:pPr>
            <w:r w:rsidRPr="00AA77C7">
              <w:rPr>
                <w:sz w:val="20"/>
              </w:rPr>
              <w:t>17,633</w:t>
            </w:r>
          </w:p>
        </w:tc>
        <w:tc>
          <w:tcPr>
            <w:tcW w:w="1080" w:type="dxa"/>
            <w:vAlign w:val="center"/>
          </w:tcPr>
          <w:p w:rsidR="004B7D3B" w:rsidRPr="00AA77C7" w:rsidRDefault="004B7D3B" w:rsidP="009536F9">
            <w:pPr>
              <w:spacing w:before="60" w:after="60" w:line="200" w:lineRule="exact"/>
              <w:jc w:val="right"/>
              <w:rPr>
                <w:b/>
                <w:noProof/>
                <w:sz w:val="16"/>
                <w:szCs w:val="16"/>
              </w:rPr>
            </w:pPr>
            <w:r w:rsidRPr="00AA77C7">
              <w:rPr>
                <w:sz w:val="20"/>
              </w:rPr>
              <w:t>119,840</w:t>
            </w:r>
          </w:p>
        </w:tc>
      </w:tr>
    </w:tbl>
    <w:p w:rsidR="00DF167D" w:rsidRPr="00AA77C7" w:rsidRDefault="00DF167D" w:rsidP="00DF167D">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CB55E2" w:rsidRPr="00AA77C7" w:rsidTr="009536F9">
        <w:trPr>
          <w:trHeight w:val="585"/>
        </w:trPr>
        <w:tc>
          <w:tcPr>
            <w:tcW w:w="1980" w:type="dxa"/>
            <w:shd w:val="clear" w:color="auto" w:fill="CCCCCC"/>
            <w:vAlign w:val="center"/>
          </w:tcPr>
          <w:p w:rsidR="00DF167D" w:rsidRPr="00AA77C7" w:rsidRDefault="00DF167D" w:rsidP="009536F9">
            <w:pPr>
              <w:spacing w:before="60" w:after="60" w:line="200" w:lineRule="exact"/>
              <w:jc w:val="center"/>
              <w:rPr>
                <w:noProof/>
                <w:sz w:val="16"/>
                <w:szCs w:val="16"/>
              </w:rPr>
            </w:pPr>
            <w:r w:rsidRPr="00AA77C7">
              <w:rPr>
                <w:b/>
                <w:noProof/>
                <w:sz w:val="16"/>
              </w:rPr>
              <w:t>Mimo OKRUH 7</w:t>
            </w:r>
            <w:r w:rsidRPr="00AA77C7">
              <w:rPr>
                <w:rStyle w:val="Znakapoznpodarou"/>
                <w:b/>
                <w:noProof/>
                <w:sz w:val="16"/>
              </w:rPr>
              <w:footnoteReference w:id="40"/>
            </w:r>
            <w:r w:rsidRPr="00AA77C7">
              <w:rPr>
                <w:noProof/>
                <w:sz w:val="22"/>
              </w:rPr>
              <w:br/>
            </w:r>
            <w:r w:rsidRPr="00AA77C7">
              <w:rPr>
                <w:b/>
                <w:noProof/>
                <w:sz w:val="16"/>
              </w:rPr>
              <w:t xml:space="preserve">víceletého finančního rámce </w:t>
            </w:r>
          </w:p>
          <w:p w:rsidR="00DF167D" w:rsidRPr="00AA77C7" w:rsidRDefault="00DF167D" w:rsidP="009536F9">
            <w:pPr>
              <w:spacing w:before="0" w:after="0" w:line="200" w:lineRule="exact"/>
              <w:jc w:val="center"/>
              <w:rPr>
                <w:b/>
                <w:noProof/>
                <w:sz w:val="16"/>
                <w:szCs w:val="16"/>
              </w:rPr>
            </w:pPr>
          </w:p>
        </w:tc>
        <w:tc>
          <w:tcPr>
            <w:tcW w:w="1080" w:type="dxa"/>
            <w:vAlign w:val="center"/>
          </w:tcPr>
          <w:p w:rsidR="00DF167D" w:rsidRPr="00AA77C7" w:rsidRDefault="00DF167D" w:rsidP="009536F9">
            <w:pPr>
              <w:spacing w:before="60" w:after="60" w:line="200" w:lineRule="exact"/>
              <w:jc w:val="right"/>
              <w:rPr>
                <w:noProof/>
                <w:sz w:val="16"/>
                <w:szCs w:val="16"/>
              </w:rPr>
            </w:pPr>
          </w:p>
        </w:tc>
        <w:tc>
          <w:tcPr>
            <w:tcW w:w="1080" w:type="dxa"/>
            <w:vAlign w:val="center"/>
          </w:tcPr>
          <w:p w:rsidR="00DF167D" w:rsidRPr="00AA77C7" w:rsidRDefault="00DF167D" w:rsidP="009536F9">
            <w:pPr>
              <w:spacing w:before="60" w:after="60" w:line="200" w:lineRule="exact"/>
              <w:jc w:val="right"/>
              <w:rPr>
                <w:noProof/>
                <w:sz w:val="16"/>
                <w:szCs w:val="16"/>
              </w:rPr>
            </w:pPr>
          </w:p>
        </w:tc>
        <w:tc>
          <w:tcPr>
            <w:tcW w:w="1080" w:type="dxa"/>
            <w:vAlign w:val="center"/>
          </w:tcPr>
          <w:p w:rsidR="00DF167D" w:rsidRPr="00AA77C7" w:rsidRDefault="00DF167D" w:rsidP="009536F9">
            <w:pPr>
              <w:spacing w:before="60" w:after="60" w:line="200" w:lineRule="exact"/>
              <w:jc w:val="right"/>
              <w:rPr>
                <w:noProof/>
                <w:sz w:val="16"/>
                <w:szCs w:val="16"/>
              </w:rPr>
            </w:pPr>
          </w:p>
        </w:tc>
        <w:tc>
          <w:tcPr>
            <w:tcW w:w="1080" w:type="dxa"/>
            <w:vAlign w:val="center"/>
          </w:tcPr>
          <w:p w:rsidR="00DF167D" w:rsidRPr="00AA77C7" w:rsidRDefault="00DF167D" w:rsidP="009536F9">
            <w:pPr>
              <w:spacing w:before="60" w:after="60" w:line="200" w:lineRule="exact"/>
              <w:jc w:val="right"/>
              <w:rPr>
                <w:noProof/>
                <w:sz w:val="16"/>
                <w:szCs w:val="16"/>
              </w:rPr>
            </w:pPr>
          </w:p>
        </w:tc>
        <w:tc>
          <w:tcPr>
            <w:tcW w:w="1080" w:type="dxa"/>
            <w:vAlign w:val="center"/>
          </w:tcPr>
          <w:p w:rsidR="00DF167D" w:rsidRPr="00AA77C7" w:rsidRDefault="00DF167D" w:rsidP="009536F9">
            <w:pPr>
              <w:spacing w:before="60" w:after="60" w:line="200" w:lineRule="exact"/>
              <w:jc w:val="right"/>
              <w:rPr>
                <w:noProof/>
                <w:sz w:val="16"/>
                <w:szCs w:val="16"/>
              </w:rPr>
            </w:pPr>
          </w:p>
        </w:tc>
        <w:tc>
          <w:tcPr>
            <w:tcW w:w="1080" w:type="dxa"/>
            <w:vAlign w:val="center"/>
          </w:tcPr>
          <w:p w:rsidR="00DF167D" w:rsidRPr="00AA77C7" w:rsidRDefault="00DF167D" w:rsidP="009536F9">
            <w:pPr>
              <w:spacing w:before="60" w:after="60" w:line="200" w:lineRule="exact"/>
              <w:jc w:val="right"/>
              <w:rPr>
                <w:noProof/>
                <w:sz w:val="16"/>
                <w:szCs w:val="16"/>
              </w:rPr>
            </w:pPr>
          </w:p>
        </w:tc>
        <w:tc>
          <w:tcPr>
            <w:tcW w:w="1080" w:type="dxa"/>
            <w:vAlign w:val="center"/>
          </w:tcPr>
          <w:p w:rsidR="00DF167D" w:rsidRPr="00AA77C7" w:rsidRDefault="00DF167D" w:rsidP="009536F9">
            <w:pPr>
              <w:spacing w:before="60" w:after="60" w:line="200" w:lineRule="exact"/>
              <w:jc w:val="right"/>
              <w:rPr>
                <w:b/>
                <w:noProof/>
                <w:sz w:val="16"/>
                <w:szCs w:val="16"/>
              </w:rPr>
            </w:pPr>
          </w:p>
        </w:tc>
        <w:tc>
          <w:tcPr>
            <w:tcW w:w="1080" w:type="dxa"/>
            <w:vAlign w:val="center"/>
          </w:tcPr>
          <w:p w:rsidR="00DF167D" w:rsidRPr="00AA77C7" w:rsidRDefault="00DF167D" w:rsidP="009536F9">
            <w:pPr>
              <w:spacing w:before="60" w:after="60" w:line="200" w:lineRule="exact"/>
              <w:jc w:val="right"/>
              <w:rPr>
                <w:b/>
                <w:noProof/>
                <w:sz w:val="16"/>
                <w:szCs w:val="16"/>
              </w:rPr>
            </w:pPr>
          </w:p>
        </w:tc>
      </w:tr>
      <w:tr w:rsidR="00CB55E2" w:rsidRPr="00AA77C7" w:rsidTr="009536F9">
        <w:trPr>
          <w:trHeight w:val="585"/>
        </w:trPr>
        <w:tc>
          <w:tcPr>
            <w:tcW w:w="1980" w:type="dxa"/>
            <w:vAlign w:val="center"/>
          </w:tcPr>
          <w:p w:rsidR="00DF167D" w:rsidRPr="00AA77C7" w:rsidRDefault="00DF167D" w:rsidP="009536F9">
            <w:pPr>
              <w:spacing w:before="60" w:after="60" w:line="200" w:lineRule="exact"/>
              <w:ind w:left="72"/>
              <w:jc w:val="left"/>
              <w:rPr>
                <w:noProof/>
                <w:sz w:val="16"/>
                <w:szCs w:val="16"/>
              </w:rPr>
            </w:pPr>
            <w:r w:rsidRPr="00AA77C7">
              <w:rPr>
                <w:noProof/>
                <w:sz w:val="16"/>
              </w:rPr>
              <w:t xml:space="preserve">Lidské zdroje </w:t>
            </w:r>
          </w:p>
        </w:tc>
        <w:tc>
          <w:tcPr>
            <w:tcW w:w="1080" w:type="dxa"/>
            <w:vAlign w:val="center"/>
          </w:tcPr>
          <w:p w:rsidR="00DF167D" w:rsidRPr="00AA77C7" w:rsidRDefault="00DF167D" w:rsidP="009536F9">
            <w:pPr>
              <w:spacing w:before="60" w:after="60" w:line="200" w:lineRule="exact"/>
              <w:jc w:val="right"/>
              <w:rPr>
                <w:noProof/>
                <w:sz w:val="16"/>
                <w:szCs w:val="16"/>
              </w:rPr>
            </w:pPr>
          </w:p>
        </w:tc>
        <w:tc>
          <w:tcPr>
            <w:tcW w:w="1080" w:type="dxa"/>
            <w:vAlign w:val="center"/>
          </w:tcPr>
          <w:p w:rsidR="00DF167D" w:rsidRPr="00AA77C7" w:rsidRDefault="00DF167D" w:rsidP="009536F9">
            <w:pPr>
              <w:spacing w:before="60" w:after="60" w:line="200" w:lineRule="exact"/>
              <w:jc w:val="right"/>
              <w:rPr>
                <w:noProof/>
                <w:sz w:val="16"/>
                <w:szCs w:val="16"/>
              </w:rPr>
            </w:pPr>
          </w:p>
        </w:tc>
        <w:tc>
          <w:tcPr>
            <w:tcW w:w="1080" w:type="dxa"/>
            <w:vAlign w:val="center"/>
          </w:tcPr>
          <w:p w:rsidR="00DF167D" w:rsidRPr="00AA77C7" w:rsidRDefault="00DF167D" w:rsidP="009536F9">
            <w:pPr>
              <w:spacing w:before="60" w:after="60" w:line="200" w:lineRule="exact"/>
              <w:jc w:val="right"/>
              <w:rPr>
                <w:noProof/>
                <w:sz w:val="16"/>
                <w:szCs w:val="16"/>
              </w:rPr>
            </w:pPr>
          </w:p>
        </w:tc>
        <w:tc>
          <w:tcPr>
            <w:tcW w:w="1080" w:type="dxa"/>
            <w:vAlign w:val="center"/>
          </w:tcPr>
          <w:p w:rsidR="00DF167D" w:rsidRPr="00AA77C7" w:rsidRDefault="00DF167D" w:rsidP="009536F9">
            <w:pPr>
              <w:spacing w:before="60" w:after="60" w:line="200" w:lineRule="exact"/>
              <w:jc w:val="right"/>
              <w:rPr>
                <w:noProof/>
                <w:sz w:val="16"/>
                <w:szCs w:val="16"/>
              </w:rPr>
            </w:pPr>
          </w:p>
        </w:tc>
        <w:tc>
          <w:tcPr>
            <w:tcW w:w="1080" w:type="dxa"/>
            <w:vAlign w:val="center"/>
          </w:tcPr>
          <w:p w:rsidR="00DF167D" w:rsidRPr="00AA77C7" w:rsidRDefault="00DF167D" w:rsidP="009536F9">
            <w:pPr>
              <w:spacing w:before="60" w:after="60" w:line="200" w:lineRule="exact"/>
              <w:jc w:val="right"/>
              <w:rPr>
                <w:noProof/>
                <w:sz w:val="16"/>
                <w:szCs w:val="16"/>
              </w:rPr>
            </w:pPr>
          </w:p>
        </w:tc>
        <w:tc>
          <w:tcPr>
            <w:tcW w:w="1080" w:type="dxa"/>
            <w:vAlign w:val="center"/>
          </w:tcPr>
          <w:p w:rsidR="00DF167D" w:rsidRPr="00AA77C7" w:rsidRDefault="00DF167D" w:rsidP="009536F9">
            <w:pPr>
              <w:spacing w:before="60" w:after="60" w:line="200" w:lineRule="exact"/>
              <w:jc w:val="right"/>
              <w:rPr>
                <w:noProof/>
                <w:sz w:val="16"/>
                <w:szCs w:val="16"/>
              </w:rPr>
            </w:pPr>
          </w:p>
        </w:tc>
        <w:tc>
          <w:tcPr>
            <w:tcW w:w="1080" w:type="dxa"/>
            <w:vAlign w:val="center"/>
          </w:tcPr>
          <w:p w:rsidR="00DF167D" w:rsidRPr="00AA77C7" w:rsidRDefault="00DF167D" w:rsidP="009536F9">
            <w:pPr>
              <w:spacing w:before="60" w:after="60" w:line="200" w:lineRule="exact"/>
              <w:jc w:val="right"/>
              <w:rPr>
                <w:b/>
                <w:noProof/>
                <w:sz w:val="16"/>
                <w:szCs w:val="16"/>
              </w:rPr>
            </w:pPr>
          </w:p>
        </w:tc>
        <w:tc>
          <w:tcPr>
            <w:tcW w:w="1080" w:type="dxa"/>
            <w:vAlign w:val="center"/>
          </w:tcPr>
          <w:p w:rsidR="00DF167D" w:rsidRPr="00AA77C7" w:rsidRDefault="00DF167D" w:rsidP="009536F9">
            <w:pPr>
              <w:spacing w:before="60" w:after="60" w:line="200" w:lineRule="exact"/>
              <w:jc w:val="right"/>
              <w:rPr>
                <w:b/>
                <w:noProof/>
                <w:sz w:val="16"/>
                <w:szCs w:val="16"/>
              </w:rPr>
            </w:pPr>
          </w:p>
        </w:tc>
      </w:tr>
      <w:tr w:rsidR="00CB55E2" w:rsidRPr="00AA77C7" w:rsidTr="009536F9">
        <w:trPr>
          <w:trHeight w:val="585"/>
        </w:trPr>
        <w:tc>
          <w:tcPr>
            <w:tcW w:w="1980" w:type="dxa"/>
            <w:vAlign w:val="center"/>
          </w:tcPr>
          <w:p w:rsidR="004B7D3B" w:rsidRPr="00AA77C7" w:rsidRDefault="004B7D3B" w:rsidP="009536F9">
            <w:pPr>
              <w:spacing w:before="60" w:after="60" w:line="200" w:lineRule="exact"/>
              <w:ind w:left="72"/>
              <w:jc w:val="left"/>
              <w:rPr>
                <w:noProof/>
                <w:sz w:val="16"/>
                <w:szCs w:val="16"/>
              </w:rPr>
            </w:pPr>
            <w:r w:rsidRPr="00AA77C7">
              <w:rPr>
                <w:noProof/>
                <w:sz w:val="16"/>
              </w:rPr>
              <w:t>Ostatní výdaje</w:t>
            </w:r>
            <w:r w:rsidRPr="00AA77C7">
              <w:rPr>
                <w:noProof/>
                <w:sz w:val="22"/>
              </w:rPr>
              <w:br/>
            </w:r>
            <w:r w:rsidRPr="00AA77C7">
              <w:rPr>
                <w:noProof/>
                <w:sz w:val="16"/>
              </w:rPr>
              <w:t>správní povahy</w:t>
            </w:r>
          </w:p>
        </w:tc>
        <w:tc>
          <w:tcPr>
            <w:tcW w:w="1080" w:type="dxa"/>
            <w:vAlign w:val="center"/>
          </w:tcPr>
          <w:p w:rsidR="004B7D3B" w:rsidRPr="00AA77C7" w:rsidRDefault="004B7D3B" w:rsidP="009536F9">
            <w:pPr>
              <w:spacing w:before="60" w:after="60" w:line="200" w:lineRule="exact"/>
              <w:jc w:val="right"/>
              <w:rPr>
                <w:noProof/>
                <w:sz w:val="16"/>
                <w:szCs w:val="16"/>
              </w:rPr>
            </w:pPr>
            <w:r w:rsidRPr="00AA77C7">
              <w:rPr>
                <w:noProof/>
                <w:sz w:val="20"/>
              </w:rPr>
              <w:t>17,420</w:t>
            </w:r>
          </w:p>
        </w:tc>
        <w:tc>
          <w:tcPr>
            <w:tcW w:w="1080" w:type="dxa"/>
            <w:vAlign w:val="center"/>
          </w:tcPr>
          <w:p w:rsidR="004B7D3B" w:rsidRPr="00AA77C7" w:rsidRDefault="004B7D3B" w:rsidP="009536F9">
            <w:pPr>
              <w:spacing w:before="60" w:after="60" w:line="200" w:lineRule="exact"/>
              <w:jc w:val="right"/>
              <w:rPr>
                <w:noProof/>
                <w:sz w:val="16"/>
                <w:szCs w:val="16"/>
              </w:rPr>
            </w:pPr>
            <w:r w:rsidRPr="00AA77C7">
              <w:rPr>
                <w:noProof/>
                <w:sz w:val="20"/>
              </w:rPr>
              <w:t>17,760</w:t>
            </w:r>
          </w:p>
        </w:tc>
        <w:tc>
          <w:tcPr>
            <w:tcW w:w="1080" w:type="dxa"/>
            <w:vAlign w:val="center"/>
          </w:tcPr>
          <w:p w:rsidR="004B7D3B" w:rsidRPr="00AA77C7" w:rsidRDefault="004B7D3B" w:rsidP="009536F9">
            <w:pPr>
              <w:spacing w:before="60" w:after="60" w:line="200" w:lineRule="exact"/>
              <w:jc w:val="right"/>
              <w:rPr>
                <w:noProof/>
                <w:sz w:val="16"/>
                <w:szCs w:val="16"/>
              </w:rPr>
            </w:pPr>
            <w:r w:rsidRPr="00AA77C7">
              <w:rPr>
                <w:noProof/>
                <w:sz w:val="20"/>
              </w:rPr>
              <w:t>18,125</w:t>
            </w:r>
          </w:p>
        </w:tc>
        <w:tc>
          <w:tcPr>
            <w:tcW w:w="1080" w:type="dxa"/>
            <w:vAlign w:val="center"/>
          </w:tcPr>
          <w:p w:rsidR="004B7D3B" w:rsidRPr="00AA77C7" w:rsidRDefault="004B7D3B" w:rsidP="009536F9">
            <w:pPr>
              <w:spacing w:before="60" w:after="60" w:line="200" w:lineRule="exact"/>
              <w:jc w:val="right"/>
              <w:rPr>
                <w:noProof/>
                <w:sz w:val="16"/>
                <w:szCs w:val="16"/>
              </w:rPr>
            </w:pPr>
            <w:r w:rsidRPr="00AA77C7">
              <w:rPr>
                <w:noProof/>
                <w:sz w:val="20"/>
              </w:rPr>
              <w:t>18,485</w:t>
            </w:r>
          </w:p>
        </w:tc>
        <w:tc>
          <w:tcPr>
            <w:tcW w:w="1080" w:type="dxa"/>
            <w:vAlign w:val="center"/>
          </w:tcPr>
          <w:p w:rsidR="004B7D3B" w:rsidRPr="00AA77C7" w:rsidRDefault="004B7D3B" w:rsidP="009536F9">
            <w:pPr>
              <w:spacing w:before="60" w:after="60" w:line="200" w:lineRule="exact"/>
              <w:jc w:val="right"/>
              <w:rPr>
                <w:noProof/>
                <w:sz w:val="16"/>
                <w:szCs w:val="16"/>
              </w:rPr>
            </w:pPr>
            <w:r w:rsidRPr="00AA77C7">
              <w:rPr>
                <w:noProof/>
                <w:sz w:val="20"/>
              </w:rPr>
              <w:t>18,850</w:t>
            </w:r>
          </w:p>
        </w:tc>
        <w:tc>
          <w:tcPr>
            <w:tcW w:w="1080" w:type="dxa"/>
            <w:vAlign w:val="center"/>
          </w:tcPr>
          <w:p w:rsidR="004B7D3B" w:rsidRPr="00AA77C7" w:rsidRDefault="004B7D3B" w:rsidP="009536F9">
            <w:pPr>
              <w:spacing w:before="60" w:after="60" w:line="200" w:lineRule="exact"/>
              <w:jc w:val="right"/>
              <w:rPr>
                <w:noProof/>
                <w:sz w:val="16"/>
                <w:szCs w:val="16"/>
              </w:rPr>
            </w:pPr>
            <w:r w:rsidRPr="00AA77C7">
              <w:rPr>
                <w:noProof/>
                <w:sz w:val="20"/>
              </w:rPr>
              <w:t>19,239</w:t>
            </w:r>
          </w:p>
        </w:tc>
        <w:tc>
          <w:tcPr>
            <w:tcW w:w="1080" w:type="dxa"/>
            <w:vAlign w:val="center"/>
          </w:tcPr>
          <w:p w:rsidR="004B7D3B" w:rsidRPr="00AA77C7" w:rsidRDefault="004B7D3B" w:rsidP="009536F9">
            <w:pPr>
              <w:spacing w:before="60" w:after="60" w:line="200" w:lineRule="exact"/>
              <w:jc w:val="right"/>
              <w:rPr>
                <w:b/>
                <w:noProof/>
                <w:sz w:val="16"/>
                <w:szCs w:val="16"/>
              </w:rPr>
            </w:pPr>
            <w:r w:rsidRPr="00AA77C7">
              <w:rPr>
                <w:noProof/>
                <w:sz w:val="20"/>
              </w:rPr>
              <w:t>19,621</w:t>
            </w:r>
          </w:p>
        </w:tc>
        <w:tc>
          <w:tcPr>
            <w:tcW w:w="1080" w:type="dxa"/>
            <w:vAlign w:val="center"/>
          </w:tcPr>
          <w:p w:rsidR="004B7D3B" w:rsidRPr="00AA77C7" w:rsidRDefault="004B7D3B" w:rsidP="009536F9">
            <w:pPr>
              <w:spacing w:before="60" w:after="60" w:line="200" w:lineRule="exact"/>
              <w:jc w:val="right"/>
              <w:rPr>
                <w:b/>
                <w:noProof/>
                <w:sz w:val="16"/>
                <w:szCs w:val="16"/>
              </w:rPr>
            </w:pPr>
            <w:r w:rsidRPr="00AA77C7">
              <w:rPr>
                <w:noProof/>
                <w:sz w:val="20"/>
              </w:rPr>
              <w:t>129,500</w:t>
            </w:r>
          </w:p>
        </w:tc>
      </w:tr>
      <w:tr w:rsidR="00CB55E2" w:rsidRPr="00AA77C7" w:rsidTr="009536F9">
        <w:trPr>
          <w:trHeight w:val="585"/>
        </w:trPr>
        <w:tc>
          <w:tcPr>
            <w:tcW w:w="1980" w:type="dxa"/>
            <w:shd w:val="clear" w:color="auto" w:fill="CCCCCC"/>
            <w:vAlign w:val="center"/>
          </w:tcPr>
          <w:p w:rsidR="004B7D3B" w:rsidRPr="00AA77C7" w:rsidRDefault="004B7D3B" w:rsidP="009536F9">
            <w:pPr>
              <w:spacing w:before="60" w:after="60" w:line="200" w:lineRule="exact"/>
              <w:jc w:val="center"/>
              <w:rPr>
                <w:b/>
                <w:noProof/>
                <w:sz w:val="16"/>
                <w:szCs w:val="16"/>
              </w:rPr>
            </w:pPr>
            <w:r w:rsidRPr="00AA77C7">
              <w:rPr>
                <w:b/>
                <w:noProof/>
                <w:sz w:val="16"/>
              </w:rPr>
              <w:t>Mezisoučet</w:t>
            </w:r>
            <w:r w:rsidRPr="00AA77C7">
              <w:rPr>
                <w:noProof/>
                <w:sz w:val="22"/>
              </w:rPr>
              <w:br/>
            </w:r>
            <w:r w:rsidRPr="00AA77C7">
              <w:rPr>
                <w:b/>
                <w:noProof/>
                <w:sz w:val="16"/>
              </w:rPr>
              <w:t>mimo OKRUH 7</w:t>
            </w:r>
            <w:r w:rsidRPr="00AA77C7">
              <w:rPr>
                <w:noProof/>
                <w:sz w:val="22"/>
              </w:rPr>
              <w:br/>
            </w:r>
            <w:r w:rsidRPr="00AA77C7">
              <w:rPr>
                <w:b/>
                <w:noProof/>
                <w:sz w:val="16"/>
              </w:rPr>
              <w:t xml:space="preserve">víceletého finančního rámce </w:t>
            </w:r>
          </w:p>
        </w:tc>
        <w:tc>
          <w:tcPr>
            <w:tcW w:w="1080" w:type="dxa"/>
            <w:vAlign w:val="center"/>
          </w:tcPr>
          <w:p w:rsidR="004B7D3B" w:rsidRPr="00AA77C7" w:rsidRDefault="004B7D3B" w:rsidP="005D43D3">
            <w:pPr>
              <w:spacing w:before="40" w:after="40"/>
              <w:jc w:val="right"/>
              <w:rPr>
                <w:sz w:val="20"/>
              </w:rPr>
            </w:pPr>
            <w:r w:rsidRPr="00AA77C7">
              <w:rPr>
                <w:noProof/>
                <w:sz w:val="20"/>
              </w:rPr>
              <w:t>17,420</w:t>
            </w:r>
          </w:p>
        </w:tc>
        <w:tc>
          <w:tcPr>
            <w:tcW w:w="1080" w:type="dxa"/>
            <w:vAlign w:val="center"/>
          </w:tcPr>
          <w:p w:rsidR="004B7D3B" w:rsidRPr="00AA77C7" w:rsidRDefault="004B7D3B" w:rsidP="005D43D3">
            <w:pPr>
              <w:spacing w:before="40" w:after="40"/>
              <w:jc w:val="right"/>
              <w:rPr>
                <w:sz w:val="20"/>
              </w:rPr>
            </w:pPr>
            <w:r w:rsidRPr="00AA77C7">
              <w:rPr>
                <w:noProof/>
                <w:sz w:val="20"/>
              </w:rPr>
              <w:t>17,760</w:t>
            </w:r>
          </w:p>
        </w:tc>
        <w:tc>
          <w:tcPr>
            <w:tcW w:w="1080" w:type="dxa"/>
            <w:vAlign w:val="center"/>
          </w:tcPr>
          <w:p w:rsidR="004B7D3B" w:rsidRPr="00AA77C7" w:rsidRDefault="004B7D3B" w:rsidP="005D43D3">
            <w:pPr>
              <w:spacing w:before="40" w:after="40"/>
              <w:jc w:val="right"/>
              <w:rPr>
                <w:sz w:val="20"/>
              </w:rPr>
            </w:pPr>
            <w:r w:rsidRPr="00AA77C7">
              <w:rPr>
                <w:noProof/>
                <w:sz w:val="20"/>
              </w:rPr>
              <w:t>18,125</w:t>
            </w:r>
          </w:p>
        </w:tc>
        <w:tc>
          <w:tcPr>
            <w:tcW w:w="1080" w:type="dxa"/>
            <w:vAlign w:val="center"/>
          </w:tcPr>
          <w:p w:rsidR="004B7D3B" w:rsidRPr="00AA77C7" w:rsidRDefault="004B7D3B" w:rsidP="005D43D3">
            <w:pPr>
              <w:spacing w:before="40" w:after="40"/>
              <w:jc w:val="right"/>
              <w:rPr>
                <w:sz w:val="20"/>
              </w:rPr>
            </w:pPr>
            <w:r w:rsidRPr="00AA77C7">
              <w:rPr>
                <w:noProof/>
                <w:sz w:val="20"/>
              </w:rPr>
              <w:t>18,485</w:t>
            </w:r>
          </w:p>
        </w:tc>
        <w:tc>
          <w:tcPr>
            <w:tcW w:w="1080" w:type="dxa"/>
            <w:vAlign w:val="center"/>
          </w:tcPr>
          <w:p w:rsidR="004B7D3B" w:rsidRPr="00AA77C7" w:rsidRDefault="004B7D3B" w:rsidP="005D43D3">
            <w:pPr>
              <w:spacing w:before="40" w:after="40"/>
              <w:jc w:val="right"/>
              <w:rPr>
                <w:sz w:val="20"/>
              </w:rPr>
            </w:pPr>
            <w:r w:rsidRPr="00AA77C7">
              <w:rPr>
                <w:noProof/>
                <w:sz w:val="20"/>
              </w:rPr>
              <w:t>18,850</w:t>
            </w:r>
          </w:p>
        </w:tc>
        <w:tc>
          <w:tcPr>
            <w:tcW w:w="1080" w:type="dxa"/>
            <w:vAlign w:val="center"/>
          </w:tcPr>
          <w:p w:rsidR="004B7D3B" w:rsidRPr="00AA77C7" w:rsidRDefault="004B7D3B" w:rsidP="005D43D3">
            <w:pPr>
              <w:spacing w:before="40" w:after="40"/>
              <w:jc w:val="right"/>
              <w:rPr>
                <w:sz w:val="20"/>
              </w:rPr>
            </w:pPr>
            <w:r w:rsidRPr="00AA77C7">
              <w:rPr>
                <w:noProof/>
                <w:sz w:val="20"/>
              </w:rPr>
              <w:t>19,239</w:t>
            </w:r>
          </w:p>
        </w:tc>
        <w:tc>
          <w:tcPr>
            <w:tcW w:w="1080" w:type="dxa"/>
            <w:vAlign w:val="center"/>
          </w:tcPr>
          <w:p w:rsidR="004B7D3B" w:rsidRPr="00AA77C7" w:rsidRDefault="004B7D3B" w:rsidP="005D43D3">
            <w:pPr>
              <w:spacing w:before="40" w:after="40"/>
              <w:jc w:val="right"/>
              <w:rPr>
                <w:sz w:val="20"/>
              </w:rPr>
            </w:pPr>
            <w:r w:rsidRPr="00AA77C7">
              <w:rPr>
                <w:noProof/>
                <w:sz w:val="20"/>
              </w:rPr>
              <w:t>19,621</w:t>
            </w:r>
          </w:p>
        </w:tc>
        <w:tc>
          <w:tcPr>
            <w:tcW w:w="1080" w:type="dxa"/>
            <w:vAlign w:val="center"/>
          </w:tcPr>
          <w:p w:rsidR="004B7D3B" w:rsidRPr="00AA77C7" w:rsidRDefault="004B7D3B" w:rsidP="009536F9">
            <w:pPr>
              <w:spacing w:before="60" w:after="60" w:line="200" w:lineRule="exact"/>
              <w:jc w:val="right"/>
              <w:rPr>
                <w:b/>
                <w:noProof/>
                <w:sz w:val="16"/>
                <w:szCs w:val="16"/>
              </w:rPr>
            </w:pPr>
            <w:r w:rsidRPr="00AA77C7">
              <w:rPr>
                <w:noProof/>
                <w:sz w:val="20"/>
              </w:rPr>
              <w:t>129,500</w:t>
            </w:r>
          </w:p>
        </w:tc>
      </w:tr>
    </w:tbl>
    <w:p w:rsidR="00DF167D" w:rsidRPr="00AA77C7" w:rsidRDefault="00DF167D" w:rsidP="00DF167D">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CB55E2" w:rsidRPr="00AA77C7" w:rsidTr="009536F9">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4B7D3B" w:rsidRPr="00AA77C7" w:rsidRDefault="004B7D3B" w:rsidP="009536F9">
            <w:pPr>
              <w:spacing w:before="60" w:after="60" w:line="200" w:lineRule="exact"/>
              <w:jc w:val="center"/>
              <w:rPr>
                <w:b/>
                <w:noProof/>
                <w:sz w:val="16"/>
                <w:szCs w:val="16"/>
              </w:rPr>
            </w:pPr>
            <w:r w:rsidRPr="00AA77C7">
              <w:rPr>
                <w:b/>
                <w:noProof/>
                <w:sz w:val="16"/>
              </w:rPr>
              <w:t>CELKEM</w:t>
            </w:r>
          </w:p>
        </w:tc>
        <w:tc>
          <w:tcPr>
            <w:tcW w:w="1080" w:type="dxa"/>
            <w:tcBorders>
              <w:top w:val="single" w:sz="12" w:space="0" w:color="auto"/>
              <w:left w:val="single" w:sz="2" w:space="0" w:color="auto"/>
              <w:bottom w:val="single" w:sz="12" w:space="0" w:color="auto"/>
              <w:right w:val="single" w:sz="2" w:space="0" w:color="auto"/>
            </w:tcBorders>
            <w:vAlign w:val="center"/>
          </w:tcPr>
          <w:p w:rsidR="004B7D3B" w:rsidRPr="00AA77C7" w:rsidRDefault="004B7D3B" w:rsidP="005D43D3">
            <w:pPr>
              <w:jc w:val="center"/>
              <w:rPr>
                <w:b/>
                <w:sz w:val="20"/>
              </w:rPr>
            </w:pPr>
            <w:r w:rsidRPr="00AA77C7">
              <w:rPr>
                <w:b/>
                <w:sz w:val="20"/>
              </w:rPr>
              <w:t>32,609</w:t>
            </w:r>
          </w:p>
        </w:tc>
        <w:tc>
          <w:tcPr>
            <w:tcW w:w="1080" w:type="dxa"/>
            <w:tcBorders>
              <w:top w:val="single" w:sz="12" w:space="0" w:color="auto"/>
              <w:left w:val="single" w:sz="2" w:space="0" w:color="auto"/>
              <w:bottom w:val="single" w:sz="12" w:space="0" w:color="auto"/>
              <w:right w:val="single" w:sz="2" w:space="0" w:color="auto"/>
            </w:tcBorders>
            <w:vAlign w:val="center"/>
          </w:tcPr>
          <w:p w:rsidR="004B7D3B" w:rsidRPr="00AA77C7" w:rsidRDefault="004B7D3B" w:rsidP="005D43D3">
            <w:pPr>
              <w:jc w:val="center"/>
              <w:rPr>
                <w:b/>
                <w:sz w:val="20"/>
              </w:rPr>
            </w:pPr>
            <w:r w:rsidRPr="00AA77C7">
              <w:rPr>
                <w:b/>
                <w:sz w:val="20"/>
              </w:rPr>
              <w:t>34,249</w:t>
            </w:r>
          </w:p>
        </w:tc>
        <w:tc>
          <w:tcPr>
            <w:tcW w:w="1080" w:type="dxa"/>
            <w:tcBorders>
              <w:top w:val="single" w:sz="12" w:space="0" w:color="auto"/>
              <w:left w:val="single" w:sz="2" w:space="0" w:color="auto"/>
              <w:bottom w:val="single" w:sz="12" w:space="0" w:color="auto"/>
              <w:right w:val="single" w:sz="2" w:space="0" w:color="auto"/>
            </w:tcBorders>
            <w:vAlign w:val="center"/>
          </w:tcPr>
          <w:p w:rsidR="004B7D3B" w:rsidRPr="00AA77C7" w:rsidRDefault="004B7D3B" w:rsidP="005D43D3">
            <w:pPr>
              <w:jc w:val="center"/>
              <w:rPr>
                <w:b/>
                <w:sz w:val="20"/>
              </w:rPr>
            </w:pPr>
            <w:r w:rsidRPr="00AA77C7">
              <w:rPr>
                <w:b/>
                <w:sz w:val="20"/>
              </w:rPr>
              <w:t>35,758</w:t>
            </w:r>
          </w:p>
        </w:tc>
        <w:tc>
          <w:tcPr>
            <w:tcW w:w="1080" w:type="dxa"/>
            <w:tcBorders>
              <w:top w:val="single" w:sz="12" w:space="0" w:color="auto"/>
              <w:left w:val="single" w:sz="2" w:space="0" w:color="auto"/>
              <w:bottom w:val="single" w:sz="12" w:space="0" w:color="auto"/>
              <w:right w:val="single" w:sz="2" w:space="0" w:color="auto"/>
            </w:tcBorders>
            <w:vAlign w:val="center"/>
          </w:tcPr>
          <w:p w:rsidR="004B7D3B" w:rsidRPr="00AA77C7" w:rsidRDefault="004B7D3B" w:rsidP="005D43D3">
            <w:pPr>
              <w:jc w:val="center"/>
              <w:rPr>
                <w:b/>
                <w:sz w:val="20"/>
              </w:rPr>
            </w:pPr>
            <w:r w:rsidRPr="00AA77C7">
              <w:rPr>
                <w:b/>
                <w:sz w:val="20"/>
              </w:rPr>
              <w:t>36,118</w:t>
            </w:r>
          </w:p>
        </w:tc>
        <w:tc>
          <w:tcPr>
            <w:tcW w:w="1080" w:type="dxa"/>
            <w:tcBorders>
              <w:top w:val="single" w:sz="12" w:space="0" w:color="auto"/>
              <w:left w:val="single" w:sz="2" w:space="0" w:color="auto"/>
              <w:bottom w:val="single" w:sz="12" w:space="0" w:color="auto"/>
              <w:right w:val="single" w:sz="2" w:space="0" w:color="auto"/>
            </w:tcBorders>
            <w:vAlign w:val="center"/>
          </w:tcPr>
          <w:p w:rsidR="004B7D3B" w:rsidRPr="00AA77C7" w:rsidRDefault="004B7D3B" w:rsidP="005D43D3">
            <w:pPr>
              <w:jc w:val="center"/>
              <w:rPr>
                <w:b/>
                <w:sz w:val="20"/>
              </w:rPr>
            </w:pPr>
            <w:r w:rsidRPr="00AA77C7">
              <w:rPr>
                <w:b/>
                <w:sz w:val="20"/>
              </w:rPr>
              <w:t>36,483</w:t>
            </w:r>
          </w:p>
        </w:tc>
        <w:tc>
          <w:tcPr>
            <w:tcW w:w="1080" w:type="dxa"/>
            <w:tcBorders>
              <w:top w:val="single" w:sz="12" w:space="0" w:color="auto"/>
              <w:left w:val="single" w:sz="2" w:space="0" w:color="auto"/>
              <w:bottom w:val="single" w:sz="12" w:space="0" w:color="auto"/>
              <w:right w:val="single" w:sz="2" w:space="0" w:color="auto"/>
            </w:tcBorders>
            <w:vAlign w:val="center"/>
          </w:tcPr>
          <w:p w:rsidR="004B7D3B" w:rsidRPr="00AA77C7" w:rsidRDefault="004B7D3B" w:rsidP="005D43D3">
            <w:pPr>
              <w:jc w:val="center"/>
              <w:rPr>
                <w:b/>
                <w:sz w:val="20"/>
              </w:rPr>
            </w:pPr>
            <w:r w:rsidRPr="00AA77C7">
              <w:rPr>
                <w:b/>
                <w:sz w:val="20"/>
              </w:rPr>
              <w:t>36,872</w:t>
            </w:r>
          </w:p>
        </w:tc>
        <w:tc>
          <w:tcPr>
            <w:tcW w:w="1080" w:type="dxa"/>
            <w:tcBorders>
              <w:top w:val="single" w:sz="12" w:space="0" w:color="auto"/>
              <w:left w:val="single" w:sz="2" w:space="0" w:color="auto"/>
              <w:bottom w:val="single" w:sz="12" w:space="0" w:color="auto"/>
              <w:right w:val="single" w:sz="2" w:space="0" w:color="auto"/>
            </w:tcBorders>
            <w:vAlign w:val="center"/>
          </w:tcPr>
          <w:p w:rsidR="004B7D3B" w:rsidRPr="00AA77C7" w:rsidRDefault="004B7D3B" w:rsidP="005D43D3">
            <w:pPr>
              <w:jc w:val="center"/>
              <w:rPr>
                <w:b/>
                <w:sz w:val="20"/>
              </w:rPr>
            </w:pPr>
            <w:r w:rsidRPr="00AA77C7">
              <w:rPr>
                <w:b/>
                <w:sz w:val="20"/>
              </w:rPr>
              <w:t>37,254</w:t>
            </w:r>
          </w:p>
        </w:tc>
        <w:tc>
          <w:tcPr>
            <w:tcW w:w="1080" w:type="dxa"/>
            <w:tcBorders>
              <w:top w:val="single" w:sz="12" w:space="0" w:color="auto"/>
              <w:left w:val="single" w:sz="2" w:space="0" w:color="auto"/>
              <w:bottom w:val="single" w:sz="12" w:space="0" w:color="auto"/>
              <w:right w:val="single" w:sz="12" w:space="0" w:color="auto"/>
            </w:tcBorders>
            <w:vAlign w:val="center"/>
          </w:tcPr>
          <w:p w:rsidR="004B7D3B" w:rsidRPr="00AA77C7" w:rsidRDefault="004B7D3B" w:rsidP="005D43D3">
            <w:pPr>
              <w:jc w:val="center"/>
              <w:rPr>
                <w:b/>
                <w:sz w:val="20"/>
              </w:rPr>
            </w:pPr>
            <w:r w:rsidRPr="00AA77C7">
              <w:rPr>
                <w:b/>
                <w:sz w:val="20"/>
              </w:rPr>
              <w:t>249,340</w:t>
            </w:r>
          </w:p>
        </w:tc>
      </w:tr>
    </w:tbl>
    <w:p w:rsidR="00DF167D" w:rsidRPr="00AA77C7" w:rsidRDefault="004E589F" w:rsidP="00DF167D">
      <w:pPr>
        <w:rPr>
          <w:noProof/>
          <w:sz w:val="18"/>
        </w:rPr>
        <w:sectPr w:rsidR="00DF167D" w:rsidRPr="00AA77C7" w:rsidSect="00DA02CA">
          <w:headerReference w:type="default" r:id="rId32"/>
          <w:footerReference w:type="default" r:id="rId33"/>
          <w:headerReference w:type="first" r:id="rId34"/>
          <w:footerReference w:type="first" r:id="rId35"/>
          <w:pgSz w:w="11907" w:h="16840"/>
          <w:pgMar w:top="1134" w:right="1418" w:bottom="1134" w:left="1418" w:header="709" w:footer="709" w:gutter="0"/>
          <w:cols w:space="708"/>
          <w:docGrid w:linePitch="360"/>
        </w:sectPr>
      </w:pPr>
      <w:r w:rsidRPr="00AA77C7">
        <w:rPr>
          <w:noProof/>
          <w:sz w:val="18"/>
        </w:rPr>
        <w:t xml:space="preserve"> </w:t>
      </w:r>
    </w:p>
    <w:p w:rsidR="00DF167D" w:rsidRPr="00AA77C7" w:rsidRDefault="00DF167D" w:rsidP="00DF167D">
      <w:pPr>
        <w:pStyle w:val="Nadpis4"/>
        <w:rPr>
          <w:bCs w:val="0"/>
          <w:noProof/>
          <w:szCs w:val="24"/>
        </w:rPr>
      </w:pPr>
      <w:r w:rsidRPr="00AA77C7">
        <w:lastRenderedPageBreak/>
        <w:t>Odhadované potřeby v oblasti lidských zdrojů</w:t>
      </w:r>
    </w:p>
    <w:p w:rsidR="00DF167D" w:rsidRPr="00AA77C7" w:rsidRDefault="00DF167D" w:rsidP="00DF167D">
      <w:pPr>
        <w:pStyle w:val="ListDash1"/>
      </w:pPr>
      <w:r w:rsidRPr="00AA77C7">
        <w:sym w:font="Wingdings" w:char="F0A8"/>
      </w:r>
      <w:r w:rsidRPr="00AA77C7">
        <w:tab/>
        <w:t xml:space="preserve">Návrh/podnět nevyžaduje využití lidských zdrojů. </w:t>
      </w:r>
    </w:p>
    <w:p w:rsidR="00DF167D" w:rsidRPr="00AA77C7" w:rsidRDefault="00DF167D" w:rsidP="00DF167D">
      <w:pPr>
        <w:pStyle w:val="ListDash1"/>
      </w:pPr>
      <w:r w:rsidRPr="00AA77C7">
        <w:sym w:font="Wingdings" w:char="F078"/>
      </w:r>
      <w:r w:rsidRPr="00AA77C7">
        <w:tab/>
        <w:t>Návrh/podnět vyžaduje využití lidských zdrojů, jak je vysvětleno dále:</w:t>
      </w:r>
    </w:p>
    <w:p w:rsidR="00DF167D" w:rsidRPr="00AA77C7" w:rsidRDefault="00DF167D" w:rsidP="00DF167D">
      <w:pPr>
        <w:spacing w:after="60"/>
        <w:jc w:val="right"/>
        <w:rPr>
          <w:i/>
          <w:noProof/>
          <w:sz w:val="20"/>
        </w:rPr>
      </w:pPr>
      <w:r w:rsidRPr="00AA77C7">
        <w:rPr>
          <w:i/>
          <w:noProof/>
          <w:sz w:val="20"/>
        </w:rPr>
        <w:t>Odhad vyjádřete v přepočtu na plné pracovní úvazky</w:t>
      </w:r>
    </w:p>
    <w:tbl>
      <w:tblPr>
        <w:tblW w:w="5717"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1"/>
        <w:gridCol w:w="1565"/>
        <w:gridCol w:w="990"/>
        <w:gridCol w:w="1134"/>
        <w:gridCol w:w="990"/>
        <w:gridCol w:w="1134"/>
        <w:gridCol w:w="1132"/>
        <w:gridCol w:w="994"/>
        <w:gridCol w:w="1119"/>
      </w:tblGrid>
      <w:tr w:rsidR="00CB55E2" w:rsidRPr="00AA77C7" w:rsidTr="009536F9">
        <w:trPr>
          <w:trHeight w:val="289"/>
        </w:trPr>
        <w:tc>
          <w:tcPr>
            <w:tcW w:w="1472" w:type="pct"/>
            <w:gridSpan w:val="2"/>
            <w:vAlign w:val="center"/>
          </w:tcPr>
          <w:p w:rsidR="00DF167D" w:rsidRPr="00AA77C7" w:rsidRDefault="00DF167D" w:rsidP="009536F9">
            <w:pPr>
              <w:pStyle w:val="Text1"/>
              <w:spacing w:before="40" w:after="40"/>
              <w:ind w:left="0"/>
              <w:jc w:val="center"/>
              <w:rPr>
                <w:i/>
                <w:sz w:val="16"/>
                <w:szCs w:val="16"/>
              </w:rPr>
            </w:pPr>
            <w:r w:rsidRPr="00AA77C7">
              <w:rPr>
                <w:b/>
                <w:sz w:val="16"/>
              </w:rPr>
              <w:t>Roky</w:t>
            </w:r>
          </w:p>
        </w:tc>
        <w:tc>
          <w:tcPr>
            <w:tcW w:w="466" w:type="pct"/>
            <w:shd w:val="clear" w:color="auto" w:fill="auto"/>
            <w:vAlign w:val="center"/>
          </w:tcPr>
          <w:p w:rsidR="00DF167D" w:rsidRPr="00AA77C7" w:rsidRDefault="00DF167D" w:rsidP="009536F9">
            <w:pPr>
              <w:spacing w:before="20" w:after="20"/>
              <w:jc w:val="center"/>
              <w:rPr>
                <w:b/>
                <w:noProof/>
                <w:sz w:val="16"/>
                <w:szCs w:val="16"/>
              </w:rPr>
            </w:pPr>
            <w:r w:rsidRPr="00AA77C7">
              <w:rPr>
                <w:b/>
                <w:noProof/>
                <w:sz w:val="20"/>
              </w:rPr>
              <w:t>2021</w:t>
            </w:r>
          </w:p>
        </w:tc>
        <w:tc>
          <w:tcPr>
            <w:tcW w:w="534" w:type="pct"/>
            <w:shd w:val="clear" w:color="auto" w:fill="auto"/>
            <w:vAlign w:val="center"/>
          </w:tcPr>
          <w:p w:rsidR="00DF167D" w:rsidRPr="00AA77C7" w:rsidRDefault="00DF167D" w:rsidP="009536F9">
            <w:pPr>
              <w:spacing w:before="20" w:after="20"/>
              <w:jc w:val="center"/>
              <w:rPr>
                <w:b/>
                <w:noProof/>
                <w:sz w:val="20"/>
              </w:rPr>
            </w:pPr>
            <w:r w:rsidRPr="00AA77C7">
              <w:rPr>
                <w:b/>
                <w:noProof/>
                <w:sz w:val="20"/>
              </w:rPr>
              <w:t>2022</w:t>
            </w:r>
          </w:p>
        </w:tc>
        <w:tc>
          <w:tcPr>
            <w:tcW w:w="466" w:type="pct"/>
            <w:shd w:val="clear" w:color="auto" w:fill="auto"/>
            <w:vAlign w:val="center"/>
          </w:tcPr>
          <w:p w:rsidR="00DF167D" w:rsidRPr="00AA77C7" w:rsidRDefault="00DF167D" w:rsidP="009536F9">
            <w:pPr>
              <w:spacing w:before="20" w:after="20"/>
              <w:jc w:val="center"/>
              <w:rPr>
                <w:b/>
                <w:noProof/>
                <w:sz w:val="20"/>
              </w:rPr>
            </w:pPr>
            <w:r w:rsidRPr="00AA77C7">
              <w:rPr>
                <w:b/>
                <w:noProof/>
                <w:sz w:val="20"/>
              </w:rPr>
              <w:t>2023</w:t>
            </w:r>
          </w:p>
        </w:tc>
        <w:tc>
          <w:tcPr>
            <w:tcW w:w="534" w:type="pct"/>
            <w:shd w:val="clear" w:color="auto" w:fill="auto"/>
            <w:vAlign w:val="center"/>
          </w:tcPr>
          <w:p w:rsidR="00DF167D" w:rsidRPr="00AA77C7" w:rsidRDefault="00DF167D" w:rsidP="009536F9">
            <w:pPr>
              <w:spacing w:before="20" w:after="20"/>
              <w:jc w:val="center"/>
              <w:rPr>
                <w:b/>
                <w:noProof/>
                <w:sz w:val="20"/>
              </w:rPr>
            </w:pPr>
            <w:r w:rsidRPr="00AA77C7">
              <w:rPr>
                <w:b/>
                <w:noProof/>
                <w:sz w:val="20"/>
              </w:rPr>
              <w:t>2024</w:t>
            </w:r>
          </w:p>
        </w:tc>
        <w:tc>
          <w:tcPr>
            <w:tcW w:w="533" w:type="pct"/>
            <w:shd w:val="clear" w:color="auto" w:fill="auto"/>
            <w:vAlign w:val="center"/>
          </w:tcPr>
          <w:p w:rsidR="00DF167D" w:rsidRPr="00AA77C7" w:rsidRDefault="00DF167D" w:rsidP="009536F9">
            <w:pPr>
              <w:jc w:val="center"/>
              <w:rPr>
                <w:b/>
                <w:noProof/>
                <w:sz w:val="20"/>
              </w:rPr>
            </w:pPr>
            <w:r w:rsidRPr="00AA77C7">
              <w:rPr>
                <w:b/>
                <w:noProof/>
                <w:sz w:val="20"/>
              </w:rPr>
              <w:t>2025</w:t>
            </w:r>
          </w:p>
        </w:tc>
        <w:tc>
          <w:tcPr>
            <w:tcW w:w="468" w:type="pct"/>
            <w:shd w:val="clear" w:color="auto" w:fill="auto"/>
            <w:vAlign w:val="center"/>
          </w:tcPr>
          <w:p w:rsidR="00DF167D" w:rsidRPr="00AA77C7" w:rsidRDefault="00DF167D" w:rsidP="009536F9">
            <w:pPr>
              <w:jc w:val="center"/>
              <w:rPr>
                <w:b/>
                <w:noProof/>
                <w:sz w:val="20"/>
              </w:rPr>
            </w:pPr>
            <w:r w:rsidRPr="00AA77C7">
              <w:rPr>
                <w:b/>
                <w:noProof/>
                <w:sz w:val="20"/>
              </w:rPr>
              <w:t>2026</w:t>
            </w:r>
          </w:p>
        </w:tc>
        <w:tc>
          <w:tcPr>
            <w:tcW w:w="527" w:type="pct"/>
            <w:shd w:val="clear" w:color="auto" w:fill="auto"/>
            <w:vAlign w:val="center"/>
          </w:tcPr>
          <w:p w:rsidR="00DF167D" w:rsidRPr="00AA77C7" w:rsidRDefault="00DF167D" w:rsidP="009536F9">
            <w:pPr>
              <w:jc w:val="center"/>
              <w:rPr>
                <w:b/>
                <w:noProof/>
                <w:sz w:val="20"/>
              </w:rPr>
            </w:pPr>
            <w:r w:rsidRPr="00AA77C7">
              <w:rPr>
                <w:b/>
                <w:noProof/>
                <w:sz w:val="20"/>
              </w:rPr>
              <w:t>2027</w:t>
            </w:r>
          </w:p>
        </w:tc>
      </w:tr>
      <w:tr w:rsidR="00CB55E2" w:rsidRPr="00AA77C7" w:rsidTr="009536F9">
        <w:trPr>
          <w:trHeight w:val="289"/>
        </w:trPr>
        <w:tc>
          <w:tcPr>
            <w:tcW w:w="5000" w:type="pct"/>
            <w:gridSpan w:val="9"/>
          </w:tcPr>
          <w:p w:rsidR="00DF167D" w:rsidRPr="00AA77C7" w:rsidRDefault="00DF167D" w:rsidP="009536F9">
            <w:pPr>
              <w:jc w:val="left"/>
              <w:rPr>
                <w:noProof/>
                <w:sz w:val="16"/>
                <w:szCs w:val="16"/>
              </w:rPr>
            </w:pPr>
            <w:r w:rsidRPr="00AA77C7">
              <w:rPr>
                <w:b/>
                <w:noProof/>
                <w:sz w:val="16"/>
              </w:rPr>
              <w:sym w:font="Wingdings" w:char="F09F"/>
            </w:r>
            <w:r w:rsidRPr="00AA77C7">
              <w:rPr>
                <w:b/>
                <w:noProof/>
                <w:sz w:val="16"/>
              </w:rPr>
              <w:t xml:space="preserve"> Pracovní místa podle plánu pracovních míst (místa úředníků a dočasných zaměstnanců)</w:t>
            </w:r>
          </w:p>
        </w:tc>
      </w:tr>
      <w:tr w:rsidR="00CB55E2" w:rsidRPr="00AA77C7" w:rsidTr="009536F9">
        <w:trPr>
          <w:trHeight w:val="289"/>
        </w:trPr>
        <w:tc>
          <w:tcPr>
            <w:tcW w:w="1472" w:type="pct"/>
            <w:gridSpan w:val="2"/>
          </w:tcPr>
          <w:p w:rsidR="00DF167D" w:rsidRPr="00AA77C7" w:rsidRDefault="00DF167D" w:rsidP="009536F9">
            <w:pPr>
              <w:pStyle w:val="Text1"/>
              <w:spacing w:beforeLines="20" w:before="48" w:afterLines="20" w:after="48"/>
              <w:ind w:left="134"/>
              <w:jc w:val="left"/>
              <w:rPr>
                <w:b/>
                <w:sz w:val="16"/>
                <w:szCs w:val="16"/>
              </w:rPr>
            </w:pPr>
            <w:r w:rsidRPr="00AA77C7">
              <w:rPr>
                <w:sz w:val="16"/>
              </w:rPr>
              <w:t>Ústředí a zastoupení Komise</w:t>
            </w:r>
          </w:p>
        </w:tc>
        <w:tc>
          <w:tcPr>
            <w:tcW w:w="466" w:type="pct"/>
            <w:shd w:val="clear" w:color="auto" w:fill="auto"/>
            <w:vAlign w:val="center"/>
          </w:tcPr>
          <w:p w:rsidR="00DF167D" w:rsidRPr="00AA77C7" w:rsidRDefault="00DF167D" w:rsidP="009536F9">
            <w:pPr>
              <w:spacing w:beforeLines="20" w:before="48" w:afterLines="20" w:after="48"/>
              <w:jc w:val="center"/>
              <w:rPr>
                <w:sz w:val="20"/>
              </w:rPr>
            </w:pPr>
            <w:r w:rsidRPr="00AA77C7">
              <w:rPr>
                <w:noProof/>
                <w:sz w:val="20"/>
              </w:rPr>
              <w:t>93</w:t>
            </w:r>
          </w:p>
        </w:tc>
        <w:tc>
          <w:tcPr>
            <w:tcW w:w="534" w:type="pct"/>
            <w:shd w:val="clear" w:color="auto" w:fill="auto"/>
            <w:vAlign w:val="center"/>
          </w:tcPr>
          <w:p w:rsidR="00DF167D" w:rsidRPr="00AA77C7" w:rsidRDefault="00DF167D" w:rsidP="009536F9">
            <w:pPr>
              <w:spacing w:beforeLines="20" w:before="48" w:afterLines="20" w:after="48"/>
              <w:jc w:val="center"/>
              <w:rPr>
                <w:sz w:val="20"/>
              </w:rPr>
            </w:pPr>
            <w:r w:rsidRPr="00AA77C7">
              <w:rPr>
                <w:noProof/>
                <w:sz w:val="20"/>
              </w:rPr>
              <w:t>101</w:t>
            </w:r>
          </w:p>
        </w:tc>
        <w:tc>
          <w:tcPr>
            <w:tcW w:w="466" w:type="pct"/>
            <w:shd w:val="clear" w:color="auto" w:fill="auto"/>
            <w:vAlign w:val="center"/>
          </w:tcPr>
          <w:p w:rsidR="00DF167D" w:rsidRPr="00AA77C7" w:rsidRDefault="00DF167D" w:rsidP="009536F9">
            <w:pPr>
              <w:spacing w:beforeLines="20" w:before="48" w:afterLines="20" w:after="48"/>
              <w:jc w:val="center"/>
              <w:rPr>
                <w:sz w:val="20"/>
              </w:rPr>
            </w:pPr>
            <w:r w:rsidRPr="00AA77C7">
              <w:rPr>
                <w:noProof/>
                <w:sz w:val="20"/>
              </w:rPr>
              <w:t>109</w:t>
            </w:r>
          </w:p>
        </w:tc>
        <w:tc>
          <w:tcPr>
            <w:tcW w:w="534" w:type="pct"/>
            <w:shd w:val="clear" w:color="auto" w:fill="auto"/>
            <w:vAlign w:val="center"/>
          </w:tcPr>
          <w:p w:rsidR="00DF167D" w:rsidRPr="00AA77C7" w:rsidRDefault="00DF167D" w:rsidP="009536F9">
            <w:pPr>
              <w:spacing w:beforeLines="20" w:before="48" w:afterLines="20" w:after="48"/>
              <w:jc w:val="center"/>
              <w:rPr>
                <w:sz w:val="20"/>
              </w:rPr>
            </w:pPr>
            <w:r w:rsidRPr="00AA77C7">
              <w:rPr>
                <w:noProof/>
                <w:sz w:val="20"/>
              </w:rPr>
              <w:t>109</w:t>
            </w:r>
          </w:p>
        </w:tc>
        <w:tc>
          <w:tcPr>
            <w:tcW w:w="533" w:type="pct"/>
            <w:shd w:val="clear" w:color="auto" w:fill="auto"/>
            <w:vAlign w:val="center"/>
          </w:tcPr>
          <w:p w:rsidR="00DF167D" w:rsidRPr="00AA77C7" w:rsidRDefault="00DF167D" w:rsidP="009536F9">
            <w:pPr>
              <w:spacing w:beforeLines="20" w:before="48" w:afterLines="20" w:after="48"/>
              <w:jc w:val="center"/>
              <w:rPr>
                <w:sz w:val="20"/>
              </w:rPr>
            </w:pPr>
            <w:r w:rsidRPr="00AA77C7">
              <w:rPr>
                <w:noProof/>
                <w:sz w:val="20"/>
              </w:rPr>
              <w:t>109</w:t>
            </w:r>
          </w:p>
        </w:tc>
        <w:tc>
          <w:tcPr>
            <w:tcW w:w="468" w:type="pct"/>
            <w:shd w:val="clear" w:color="auto" w:fill="auto"/>
            <w:vAlign w:val="center"/>
          </w:tcPr>
          <w:p w:rsidR="00DF167D" w:rsidRPr="00AA77C7" w:rsidRDefault="00DF167D" w:rsidP="009536F9">
            <w:pPr>
              <w:spacing w:beforeLines="20" w:before="48" w:afterLines="20" w:after="48"/>
              <w:jc w:val="center"/>
              <w:rPr>
                <w:sz w:val="20"/>
              </w:rPr>
            </w:pPr>
            <w:r w:rsidRPr="00AA77C7">
              <w:rPr>
                <w:noProof/>
                <w:sz w:val="20"/>
              </w:rPr>
              <w:t>109</w:t>
            </w:r>
          </w:p>
        </w:tc>
        <w:tc>
          <w:tcPr>
            <w:tcW w:w="527" w:type="pct"/>
            <w:shd w:val="clear" w:color="auto" w:fill="auto"/>
            <w:vAlign w:val="center"/>
          </w:tcPr>
          <w:p w:rsidR="00DF167D" w:rsidRPr="00AA77C7" w:rsidRDefault="00DF167D" w:rsidP="009536F9">
            <w:pPr>
              <w:spacing w:beforeLines="20" w:before="48" w:afterLines="20" w:after="48"/>
              <w:jc w:val="center"/>
              <w:rPr>
                <w:sz w:val="20"/>
              </w:rPr>
            </w:pPr>
            <w:r w:rsidRPr="00AA77C7">
              <w:rPr>
                <w:noProof/>
                <w:sz w:val="20"/>
              </w:rPr>
              <w:t>109</w:t>
            </w:r>
          </w:p>
        </w:tc>
      </w:tr>
      <w:tr w:rsidR="00CB55E2" w:rsidRPr="00AA77C7" w:rsidTr="009536F9">
        <w:trPr>
          <w:trHeight w:val="289"/>
        </w:trPr>
        <w:tc>
          <w:tcPr>
            <w:tcW w:w="1472" w:type="pct"/>
            <w:gridSpan w:val="2"/>
          </w:tcPr>
          <w:p w:rsidR="00DF167D" w:rsidRPr="00AA77C7" w:rsidRDefault="00DF167D" w:rsidP="009536F9">
            <w:pPr>
              <w:pStyle w:val="Text1"/>
              <w:spacing w:beforeLines="20" w:before="48" w:afterLines="20" w:after="48"/>
              <w:ind w:left="134"/>
              <w:jc w:val="left"/>
              <w:rPr>
                <w:sz w:val="16"/>
                <w:szCs w:val="16"/>
              </w:rPr>
            </w:pPr>
            <w:r w:rsidRPr="00AA77C7">
              <w:rPr>
                <w:sz w:val="16"/>
              </w:rPr>
              <w:t>Delegace</w:t>
            </w:r>
          </w:p>
        </w:tc>
        <w:tc>
          <w:tcPr>
            <w:tcW w:w="466" w:type="pct"/>
            <w:shd w:val="clear" w:color="auto" w:fill="auto"/>
            <w:vAlign w:val="center"/>
          </w:tcPr>
          <w:p w:rsidR="00DF167D" w:rsidRPr="00AA77C7" w:rsidRDefault="00DF167D" w:rsidP="009536F9">
            <w:pPr>
              <w:spacing w:beforeLines="20" w:before="48" w:afterLines="20" w:after="48"/>
              <w:jc w:val="center"/>
              <w:rPr>
                <w:noProof/>
                <w:sz w:val="16"/>
                <w:szCs w:val="16"/>
              </w:rPr>
            </w:pPr>
          </w:p>
        </w:tc>
        <w:tc>
          <w:tcPr>
            <w:tcW w:w="534" w:type="pct"/>
            <w:shd w:val="clear" w:color="auto" w:fill="auto"/>
            <w:vAlign w:val="center"/>
          </w:tcPr>
          <w:p w:rsidR="00DF167D" w:rsidRPr="00AA77C7" w:rsidRDefault="00DF167D" w:rsidP="009536F9">
            <w:pPr>
              <w:spacing w:beforeLines="20" w:before="48" w:afterLines="20" w:after="48"/>
              <w:jc w:val="center"/>
              <w:rPr>
                <w:noProof/>
                <w:sz w:val="16"/>
                <w:szCs w:val="16"/>
              </w:rPr>
            </w:pPr>
          </w:p>
        </w:tc>
        <w:tc>
          <w:tcPr>
            <w:tcW w:w="466" w:type="pct"/>
            <w:shd w:val="clear" w:color="auto" w:fill="auto"/>
            <w:vAlign w:val="center"/>
          </w:tcPr>
          <w:p w:rsidR="00DF167D" w:rsidRPr="00AA77C7" w:rsidRDefault="00DF167D" w:rsidP="009536F9">
            <w:pPr>
              <w:spacing w:beforeLines="20" w:before="48" w:afterLines="20" w:after="48"/>
              <w:jc w:val="center"/>
              <w:rPr>
                <w:noProof/>
                <w:sz w:val="16"/>
                <w:szCs w:val="16"/>
              </w:rPr>
            </w:pPr>
          </w:p>
        </w:tc>
        <w:tc>
          <w:tcPr>
            <w:tcW w:w="534" w:type="pct"/>
            <w:shd w:val="clear" w:color="auto" w:fill="auto"/>
            <w:vAlign w:val="center"/>
          </w:tcPr>
          <w:p w:rsidR="00DF167D" w:rsidRPr="00AA77C7" w:rsidRDefault="00DF167D" w:rsidP="009536F9">
            <w:pPr>
              <w:spacing w:beforeLines="20" w:before="48" w:afterLines="20" w:after="48"/>
              <w:jc w:val="center"/>
              <w:rPr>
                <w:noProof/>
                <w:sz w:val="16"/>
                <w:szCs w:val="16"/>
              </w:rPr>
            </w:pPr>
          </w:p>
        </w:tc>
        <w:tc>
          <w:tcPr>
            <w:tcW w:w="533" w:type="pct"/>
            <w:shd w:val="clear" w:color="auto" w:fill="auto"/>
            <w:vAlign w:val="center"/>
          </w:tcPr>
          <w:p w:rsidR="00DF167D" w:rsidRPr="00AA77C7" w:rsidRDefault="00DF167D" w:rsidP="009536F9">
            <w:pPr>
              <w:spacing w:beforeLines="20" w:before="48" w:afterLines="20" w:after="48"/>
              <w:jc w:val="center"/>
              <w:rPr>
                <w:noProof/>
                <w:sz w:val="16"/>
                <w:szCs w:val="16"/>
              </w:rPr>
            </w:pPr>
          </w:p>
        </w:tc>
        <w:tc>
          <w:tcPr>
            <w:tcW w:w="468" w:type="pct"/>
            <w:shd w:val="clear" w:color="auto" w:fill="auto"/>
            <w:vAlign w:val="center"/>
          </w:tcPr>
          <w:p w:rsidR="00DF167D" w:rsidRPr="00AA77C7" w:rsidRDefault="00DF167D" w:rsidP="009536F9">
            <w:pPr>
              <w:spacing w:beforeLines="20" w:before="48" w:afterLines="20" w:after="48"/>
              <w:jc w:val="center"/>
              <w:rPr>
                <w:noProof/>
                <w:sz w:val="16"/>
                <w:szCs w:val="16"/>
              </w:rPr>
            </w:pPr>
          </w:p>
        </w:tc>
        <w:tc>
          <w:tcPr>
            <w:tcW w:w="527" w:type="pct"/>
            <w:shd w:val="clear" w:color="auto" w:fill="auto"/>
            <w:vAlign w:val="center"/>
          </w:tcPr>
          <w:p w:rsidR="00DF167D" w:rsidRPr="00AA77C7" w:rsidRDefault="00DF167D" w:rsidP="009536F9">
            <w:pPr>
              <w:spacing w:beforeLines="20" w:before="48" w:afterLines="20" w:after="48"/>
              <w:jc w:val="center"/>
              <w:rPr>
                <w:noProof/>
                <w:sz w:val="16"/>
                <w:szCs w:val="16"/>
              </w:rPr>
            </w:pPr>
          </w:p>
        </w:tc>
      </w:tr>
      <w:tr w:rsidR="00CB55E2" w:rsidRPr="00AA77C7" w:rsidTr="009536F9">
        <w:trPr>
          <w:trHeight w:val="289"/>
        </w:trPr>
        <w:tc>
          <w:tcPr>
            <w:tcW w:w="1472" w:type="pct"/>
            <w:gridSpan w:val="2"/>
          </w:tcPr>
          <w:p w:rsidR="00DF167D" w:rsidRPr="00AA77C7" w:rsidRDefault="00DF167D" w:rsidP="009536F9">
            <w:pPr>
              <w:pStyle w:val="Text1"/>
              <w:spacing w:beforeLines="20" w:before="48" w:afterLines="20" w:after="48"/>
              <w:ind w:left="134"/>
              <w:jc w:val="left"/>
              <w:rPr>
                <w:sz w:val="16"/>
                <w:szCs w:val="16"/>
              </w:rPr>
            </w:pPr>
            <w:r w:rsidRPr="00AA77C7">
              <w:rPr>
                <w:sz w:val="16"/>
              </w:rPr>
              <w:t>Výzkum</w:t>
            </w:r>
          </w:p>
        </w:tc>
        <w:tc>
          <w:tcPr>
            <w:tcW w:w="466" w:type="pct"/>
            <w:shd w:val="clear" w:color="auto" w:fill="auto"/>
            <w:vAlign w:val="center"/>
          </w:tcPr>
          <w:p w:rsidR="00DF167D" w:rsidRPr="00AA77C7" w:rsidRDefault="00DF167D" w:rsidP="009536F9">
            <w:pPr>
              <w:spacing w:beforeLines="20" w:before="48" w:afterLines="20" w:after="48"/>
              <w:jc w:val="center"/>
              <w:rPr>
                <w:noProof/>
                <w:sz w:val="16"/>
                <w:szCs w:val="16"/>
              </w:rPr>
            </w:pPr>
          </w:p>
        </w:tc>
        <w:tc>
          <w:tcPr>
            <w:tcW w:w="534" w:type="pct"/>
            <w:shd w:val="clear" w:color="auto" w:fill="auto"/>
            <w:vAlign w:val="center"/>
          </w:tcPr>
          <w:p w:rsidR="00DF167D" w:rsidRPr="00AA77C7" w:rsidRDefault="00DF167D" w:rsidP="009536F9">
            <w:pPr>
              <w:spacing w:beforeLines="20" w:before="48" w:afterLines="20" w:after="48"/>
              <w:jc w:val="center"/>
              <w:rPr>
                <w:noProof/>
                <w:sz w:val="16"/>
                <w:szCs w:val="16"/>
              </w:rPr>
            </w:pPr>
          </w:p>
        </w:tc>
        <w:tc>
          <w:tcPr>
            <w:tcW w:w="466" w:type="pct"/>
            <w:shd w:val="clear" w:color="auto" w:fill="auto"/>
            <w:vAlign w:val="center"/>
          </w:tcPr>
          <w:p w:rsidR="00DF167D" w:rsidRPr="00AA77C7" w:rsidRDefault="00DF167D" w:rsidP="009536F9">
            <w:pPr>
              <w:spacing w:beforeLines="20" w:before="48" w:afterLines="20" w:after="48"/>
              <w:jc w:val="center"/>
              <w:rPr>
                <w:noProof/>
                <w:sz w:val="16"/>
                <w:szCs w:val="16"/>
              </w:rPr>
            </w:pPr>
          </w:p>
        </w:tc>
        <w:tc>
          <w:tcPr>
            <w:tcW w:w="534" w:type="pct"/>
            <w:shd w:val="clear" w:color="auto" w:fill="auto"/>
            <w:vAlign w:val="center"/>
          </w:tcPr>
          <w:p w:rsidR="00DF167D" w:rsidRPr="00AA77C7" w:rsidRDefault="00DF167D" w:rsidP="009536F9">
            <w:pPr>
              <w:spacing w:beforeLines="20" w:before="48" w:afterLines="20" w:after="48"/>
              <w:jc w:val="center"/>
              <w:rPr>
                <w:noProof/>
                <w:sz w:val="16"/>
                <w:szCs w:val="16"/>
              </w:rPr>
            </w:pPr>
          </w:p>
        </w:tc>
        <w:tc>
          <w:tcPr>
            <w:tcW w:w="533" w:type="pct"/>
            <w:shd w:val="clear" w:color="auto" w:fill="auto"/>
            <w:vAlign w:val="center"/>
          </w:tcPr>
          <w:p w:rsidR="00DF167D" w:rsidRPr="00AA77C7" w:rsidRDefault="00DF167D" w:rsidP="009536F9">
            <w:pPr>
              <w:spacing w:beforeLines="20" w:before="48" w:afterLines="20" w:after="48"/>
              <w:jc w:val="center"/>
              <w:rPr>
                <w:noProof/>
                <w:sz w:val="16"/>
                <w:szCs w:val="16"/>
              </w:rPr>
            </w:pPr>
          </w:p>
        </w:tc>
        <w:tc>
          <w:tcPr>
            <w:tcW w:w="468" w:type="pct"/>
            <w:shd w:val="clear" w:color="auto" w:fill="auto"/>
            <w:vAlign w:val="center"/>
          </w:tcPr>
          <w:p w:rsidR="00DF167D" w:rsidRPr="00AA77C7" w:rsidRDefault="00DF167D" w:rsidP="009536F9">
            <w:pPr>
              <w:spacing w:beforeLines="20" w:before="48" w:afterLines="20" w:after="48"/>
              <w:jc w:val="center"/>
              <w:rPr>
                <w:noProof/>
                <w:sz w:val="16"/>
                <w:szCs w:val="16"/>
              </w:rPr>
            </w:pPr>
          </w:p>
        </w:tc>
        <w:tc>
          <w:tcPr>
            <w:tcW w:w="527" w:type="pct"/>
            <w:shd w:val="clear" w:color="auto" w:fill="auto"/>
            <w:vAlign w:val="center"/>
          </w:tcPr>
          <w:p w:rsidR="00DF167D" w:rsidRPr="00AA77C7" w:rsidRDefault="00DF167D" w:rsidP="009536F9">
            <w:pPr>
              <w:spacing w:beforeLines="20" w:before="48" w:afterLines="20" w:after="48"/>
              <w:jc w:val="center"/>
              <w:rPr>
                <w:noProof/>
                <w:sz w:val="16"/>
                <w:szCs w:val="16"/>
              </w:rPr>
            </w:pPr>
          </w:p>
        </w:tc>
      </w:tr>
      <w:tr w:rsidR="00CB55E2" w:rsidRPr="00AA77C7" w:rsidTr="009536F9">
        <w:trPr>
          <w:trHeight w:val="293"/>
        </w:trPr>
        <w:tc>
          <w:tcPr>
            <w:tcW w:w="5000" w:type="pct"/>
            <w:gridSpan w:val="9"/>
          </w:tcPr>
          <w:p w:rsidR="00DF167D" w:rsidRPr="00AA77C7" w:rsidRDefault="00DF167D" w:rsidP="009536F9">
            <w:pPr>
              <w:pStyle w:val="Text1"/>
              <w:spacing w:before="60" w:after="60"/>
              <w:ind w:left="0"/>
              <w:jc w:val="left"/>
              <w:rPr>
                <w:b/>
                <w:sz w:val="16"/>
                <w:szCs w:val="16"/>
              </w:rPr>
            </w:pPr>
            <w:r w:rsidRPr="00AA77C7">
              <w:rPr>
                <w:b/>
                <w:sz w:val="16"/>
              </w:rPr>
              <w:sym w:font="Wingdings" w:char="F09F"/>
            </w:r>
            <w:r w:rsidRPr="00AA77C7">
              <w:rPr>
                <w:b/>
                <w:sz w:val="16"/>
              </w:rPr>
              <w:t>Externí zaměstnanci (v přepočtu na plné pracovní úvazky: FTE) – SZ, MZ, VNO, ZAP a MOD</w:t>
            </w:r>
            <w:r w:rsidRPr="00AA77C7">
              <w:rPr>
                <w:sz w:val="16"/>
              </w:rPr>
              <w:t xml:space="preserve"> </w:t>
            </w:r>
            <w:r w:rsidRPr="00AA77C7">
              <w:rPr>
                <w:rStyle w:val="Znakapoznpodarou"/>
                <w:sz w:val="16"/>
              </w:rPr>
              <w:footnoteReference w:id="41"/>
            </w:r>
          </w:p>
          <w:p w:rsidR="00DF167D" w:rsidRPr="00AA77C7" w:rsidRDefault="00DF167D" w:rsidP="009536F9">
            <w:pPr>
              <w:pStyle w:val="Text1"/>
              <w:spacing w:before="0" w:after="0"/>
              <w:ind w:left="0"/>
              <w:jc w:val="left"/>
              <w:rPr>
                <w:sz w:val="16"/>
                <w:szCs w:val="16"/>
              </w:rPr>
            </w:pPr>
            <w:r w:rsidRPr="00AA77C7">
              <w:rPr>
                <w:sz w:val="16"/>
              </w:rPr>
              <w:t>Okruh 7</w:t>
            </w:r>
          </w:p>
        </w:tc>
      </w:tr>
      <w:tr w:rsidR="00CB55E2" w:rsidRPr="00AA77C7" w:rsidTr="005D43D3">
        <w:trPr>
          <w:trHeight w:val="485"/>
        </w:trPr>
        <w:tc>
          <w:tcPr>
            <w:tcW w:w="735" w:type="pct"/>
            <w:vMerge w:val="restart"/>
            <w:vAlign w:val="center"/>
          </w:tcPr>
          <w:p w:rsidR="00DF167D" w:rsidRPr="00AA77C7" w:rsidRDefault="00DF167D" w:rsidP="009536F9">
            <w:pPr>
              <w:pStyle w:val="Text1"/>
              <w:spacing w:beforeLines="20" w:before="48" w:afterLines="20" w:after="48"/>
              <w:ind w:left="136"/>
              <w:jc w:val="left"/>
              <w:rPr>
                <w:b/>
                <w:sz w:val="16"/>
                <w:szCs w:val="16"/>
              </w:rPr>
            </w:pPr>
            <w:r w:rsidRPr="00AA77C7">
              <w:rPr>
                <w:sz w:val="16"/>
              </w:rPr>
              <w:t>Financovaní z OKRUHU 7 víceletého finančního rámce</w:t>
            </w:r>
            <w:r w:rsidRPr="00AA77C7">
              <w:rPr>
                <w:b/>
                <w:sz w:val="16"/>
              </w:rPr>
              <w:t xml:space="preserve"> </w:t>
            </w:r>
          </w:p>
        </w:tc>
        <w:tc>
          <w:tcPr>
            <w:tcW w:w="737" w:type="pct"/>
            <w:vAlign w:val="center"/>
          </w:tcPr>
          <w:p w:rsidR="00DF167D" w:rsidRPr="00AA77C7" w:rsidRDefault="00DF167D" w:rsidP="009536F9">
            <w:pPr>
              <w:pStyle w:val="Text1"/>
              <w:spacing w:beforeLines="20" w:before="48" w:afterLines="20" w:after="48"/>
              <w:ind w:left="136"/>
              <w:jc w:val="left"/>
              <w:rPr>
                <w:b/>
                <w:sz w:val="16"/>
                <w:szCs w:val="16"/>
              </w:rPr>
            </w:pPr>
            <w:r w:rsidRPr="00AA77C7">
              <w:rPr>
                <w:sz w:val="16"/>
              </w:rPr>
              <w:t>– v ústředí</w:t>
            </w:r>
          </w:p>
        </w:tc>
        <w:tc>
          <w:tcPr>
            <w:tcW w:w="466" w:type="pct"/>
            <w:shd w:val="clear" w:color="auto" w:fill="auto"/>
            <w:vAlign w:val="center"/>
          </w:tcPr>
          <w:p w:rsidR="00DF167D" w:rsidRPr="00AA77C7" w:rsidRDefault="00DF167D" w:rsidP="009536F9">
            <w:pPr>
              <w:spacing w:beforeLines="20" w:before="48" w:afterLines="20" w:after="48"/>
              <w:jc w:val="center"/>
              <w:rPr>
                <w:sz w:val="20"/>
              </w:rPr>
            </w:pPr>
            <w:r w:rsidRPr="00AA77C7">
              <w:rPr>
                <w:noProof/>
                <w:sz w:val="20"/>
              </w:rPr>
              <w:t>13</w:t>
            </w:r>
          </w:p>
        </w:tc>
        <w:tc>
          <w:tcPr>
            <w:tcW w:w="534" w:type="pct"/>
            <w:shd w:val="clear" w:color="auto" w:fill="auto"/>
            <w:vAlign w:val="center"/>
          </w:tcPr>
          <w:p w:rsidR="00DF167D" w:rsidRPr="00AA77C7" w:rsidRDefault="00DF167D" w:rsidP="009536F9">
            <w:pPr>
              <w:spacing w:beforeLines="20" w:before="48" w:afterLines="20" w:after="48"/>
              <w:jc w:val="center"/>
              <w:rPr>
                <w:sz w:val="20"/>
              </w:rPr>
            </w:pPr>
            <w:r w:rsidRPr="00AA77C7">
              <w:rPr>
                <w:noProof/>
                <w:sz w:val="20"/>
              </w:rPr>
              <w:t>15</w:t>
            </w:r>
          </w:p>
        </w:tc>
        <w:tc>
          <w:tcPr>
            <w:tcW w:w="466" w:type="pct"/>
            <w:shd w:val="clear" w:color="auto" w:fill="auto"/>
          </w:tcPr>
          <w:p w:rsidR="00DF167D" w:rsidRPr="00AA77C7" w:rsidRDefault="00DF167D" w:rsidP="005D43D3">
            <w:pPr>
              <w:jc w:val="center"/>
            </w:pPr>
            <w:r w:rsidRPr="00AA77C7">
              <w:rPr>
                <w:noProof/>
                <w:sz w:val="20"/>
              </w:rPr>
              <w:t>15</w:t>
            </w:r>
          </w:p>
        </w:tc>
        <w:tc>
          <w:tcPr>
            <w:tcW w:w="534" w:type="pct"/>
            <w:shd w:val="clear" w:color="auto" w:fill="auto"/>
          </w:tcPr>
          <w:p w:rsidR="00DF167D" w:rsidRPr="00AA77C7" w:rsidRDefault="00DF167D" w:rsidP="005D43D3">
            <w:pPr>
              <w:jc w:val="center"/>
            </w:pPr>
            <w:r w:rsidRPr="00AA77C7">
              <w:rPr>
                <w:noProof/>
                <w:sz w:val="20"/>
              </w:rPr>
              <w:t>15</w:t>
            </w:r>
          </w:p>
        </w:tc>
        <w:tc>
          <w:tcPr>
            <w:tcW w:w="533" w:type="pct"/>
            <w:shd w:val="clear" w:color="auto" w:fill="auto"/>
          </w:tcPr>
          <w:p w:rsidR="00DF167D" w:rsidRPr="00AA77C7" w:rsidRDefault="00DF167D" w:rsidP="005D43D3">
            <w:pPr>
              <w:jc w:val="center"/>
            </w:pPr>
            <w:r w:rsidRPr="00AA77C7">
              <w:rPr>
                <w:noProof/>
                <w:sz w:val="20"/>
              </w:rPr>
              <w:t>15</w:t>
            </w:r>
          </w:p>
        </w:tc>
        <w:tc>
          <w:tcPr>
            <w:tcW w:w="468" w:type="pct"/>
            <w:shd w:val="clear" w:color="auto" w:fill="auto"/>
          </w:tcPr>
          <w:p w:rsidR="00DF167D" w:rsidRPr="00AA77C7" w:rsidRDefault="00DF167D" w:rsidP="005D43D3">
            <w:pPr>
              <w:jc w:val="center"/>
            </w:pPr>
            <w:r w:rsidRPr="00AA77C7">
              <w:rPr>
                <w:noProof/>
                <w:sz w:val="20"/>
              </w:rPr>
              <w:t>15</w:t>
            </w:r>
          </w:p>
        </w:tc>
        <w:tc>
          <w:tcPr>
            <w:tcW w:w="527" w:type="pct"/>
            <w:shd w:val="clear" w:color="auto" w:fill="auto"/>
          </w:tcPr>
          <w:p w:rsidR="00DF167D" w:rsidRPr="00AA77C7" w:rsidRDefault="00DF167D" w:rsidP="005D43D3">
            <w:pPr>
              <w:jc w:val="center"/>
            </w:pPr>
            <w:r w:rsidRPr="00AA77C7">
              <w:rPr>
                <w:noProof/>
                <w:sz w:val="20"/>
              </w:rPr>
              <w:t>15</w:t>
            </w:r>
          </w:p>
        </w:tc>
      </w:tr>
      <w:tr w:rsidR="00CB55E2" w:rsidRPr="00AA77C7" w:rsidTr="009536F9">
        <w:trPr>
          <w:trHeight w:val="289"/>
        </w:trPr>
        <w:tc>
          <w:tcPr>
            <w:tcW w:w="735" w:type="pct"/>
            <w:vMerge/>
            <w:vAlign w:val="center"/>
          </w:tcPr>
          <w:p w:rsidR="00DF167D" w:rsidRPr="00AA77C7" w:rsidRDefault="00DF167D" w:rsidP="009536F9">
            <w:pPr>
              <w:pStyle w:val="Text1"/>
              <w:spacing w:beforeLines="20" w:before="48" w:afterLines="20" w:after="48"/>
              <w:ind w:left="136"/>
              <w:jc w:val="left"/>
              <w:rPr>
                <w:sz w:val="16"/>
                <w:szCs w:val="16"/>
              </w:rPr>
            </w:pPr>
          </w:p>
        </w:tc>
        <w:tc>
          <w:tcPr>
            <w:tcW w:w="737" w:type="pct"/>
            <w:vAlign w:val="center"/>
          </w:tcPr>
          <w:p w:rsidR="00DF167D" w:rsidRPr="00AA77C7" w:rsidRDefault="00DF167D" w:rsidP="009536F9">
            <w:pPr>
              <w:pStyle w:val="Text1"/>
              <w:spacing w:beforeLines="20" w:before="48" w:afterLines="20" w:after="48"/>
              <w:ind w:left="136"/>
              <w:jc w:val="left"/>
              <w:rPr>
                <w:sz w:val="16"/>
                <w:szCs w:val="16"/>
              </w:rPr>
            </w:pPr>
            <w:r w:rsidRPr="00AA77C7">
              <w:rPr>
                <w:sz w:val="16"/>
              </w:rPr>
              <w:t xml:space="preserve">– při delegacích </w:t>
            </w:r>
          </w:p>
        </w:tc>
        <w:tc>
          <w:tcPr>
            <w:tcW w:w="466" w:type="pct"/>
            <w:shd w:val="clear" w:color="auto" w:fill="auto"/>
            <w:vAlign w:val="center"/>
          </w:tcPr>
          <w:p w:rsidR="00DF167D" w:rsidRPr="00AA77C7" w:rsidRDefault="00DF167D" w:rsidP="009536F9">
            <w:pPr>
              <w:spacing w:beforeLines="20" w:before="48" w:afterLines="20" w:after="48"/>
              <w:jc w:val="center"/>
              <w:rPr>
                <w:noProof/>
                <w:sz w:val="16"/>
                <w:szCs w:val="16"/>
              </w:rPr>
            </w:pPr>
          </w:p>
        </w:tc>
        <w:tc>
          <w:tcPr>
            <w:tcW w:w="534" w:type="pct"/>
            <w:shd w:val="clear" w:color="auto" w:fill="auto"/>
            <w:vAlign w:val="center"/>
          </w:tcPr>
          <w:p w:rsidR="00DF167D" w:rsidRPr="00AA77C7" w:rsidRDefault="00DF167D" w:rsidP="009536F9">
            <w:pPr>
              <w:spacing w:beforeLines="20" w:before="48" w:afterLines="20" w:after="48"/>
              <w:jc w:val="center"/>
              <w:rPr>
                <w:noProof/>
                <w:sz w:val="16"/>
                <w:szCs w:val="16"/>
              </w:rPr>
            </w:pPr>
          </w:p>
        </w:tc>
        <w:tc>
          <w:tcPr>
            <w:tcW w:w="466" w:type="pct"/>
            <w:shd w:val="clear" w:color="auto" w:fill="auto"/>
            <w:vAlign w:val="center"/>
          </w:tcPr>
          <w:p w:rsidR="00DF167D" w:rsidRPr="00AA77C7" w:rsidRDefault="00DF167D" w:rsidP="009536F9">
            <w:pPr>
              <w:spacing w:beforeLines="20" w:before="48" w:afterLines="20" w:after="48"/>
              <w:jc w:val="center"/>
              <w:rPr>
                <w:noProof/>
                <w:sz w:val="16"/>
                <w:szCs w:val="16"/>
              </w:rPr>
            </w:pPr>
          </w:p>
        </w:tc>
        <w:tc>
          <w:tcPr>
            <w:tcW w:w="534" w:type="pct"/>
            <w:shd w:val="clear" w:color="auto" w:fill="auto"/>
            <w:vAlign w:val="center"/>
          </w:tcPr>
          <w:p w:rsidR="00DF167D" w:rsidRPr="00AA77C7" w:rsidRDefault="00DF167D" w:rsidP="009536F9">
            <w:pPr>
              <w:spacing w:beforeLines="20" w:before="48" w:afterLines="20" w:after="48"/>
              <w:jc w:val="center"/>
              <w:rPr>
                <w:noProof/>
                <w:sz w:val="16"/>
                <w:szCs w:val="16"/>
              </w:rPr>
            </w:pPr>
          </w:p>
        </w:tc>
        <w:tc>
          <w:tcPr>
            <w:tcW w:w="533" w:type="pct"/>
            <w:shd w:val="clear" w:color="auto" w:fill="auto"/>
            <w:vAlign w:val="center"/>
          </w:tcPr>
          <w:p w:rsidR="00DF167D" w:rsidRPr="00AA77C7" w:rsidRDefault="00DF167D" w:rsidP="009536F9">
            <w:pPr>
              <w:spacing w:beforeLines="20" w:before="48" w:afterLines="20" w:after="48"/>
              <w:jc w:val="center"/>
              <w:rPr>
                <w:noProof/>
                <w:sz w:val="16"/>
                <w:szCs w:val="16"/>
              </w:rPr>
            </w:pPr>
          </w:p>
        </w:tc>
        <w:tc>
          <w:tcPr>
            <w:tcW w:w="468" w:type="pct"/>
            <w:shd w:val="clear" w:color="auto" w:fill="auto"/>
            <w:vAlign w:val="center"/>
          </w:tcPr>
          <w:p w:rsidR="00DF167D" w:rsidRPr="00AA77C7" w:rsidRDefault="00DF167D" w:rsidP="009536F9">
            <w:pPr>
              <w:spacing w:beforeLines="20" w:before="48" w:afterLines="20" w:after="48"/>
              <w:jc w:val="center"/>
              <w:rPr>
                <w:noProof/>
                <w:sz w:val="16"/>
                <w:szCs w:val="16"/>
              </w:rPr>
            </w:pPr>
          </w:p>
        </w:tc>
        <w:tc>
          <w:tcPr>
            <w:tcW w:w="527" w:type="pct"/>
            <w:shd w:val="clear" w:color="auto" w:fill="auto"/>
            <w:vAlign w:val="center"/>
          </w:tcPr>
          <w:p w:rsidR="00DF167D" w:rsidRPr="00AA77C7" w:rsidRDefault="00DF167D" w:rsidP="009536F9">
            <w:pPr>
              <w:spacing w:beforeLines="20" w:before="48" w:afterLines="20" w:after="48"/>
              <w:jc w:val="center"/>
              <w:rPr>
                <w:noProof/>
                <w:sz w:val="16"/>
                <w:szCs w:val="16"/>
              </w:rPr>
            </w:pPr>
          </w:p>
        </w:tc>
      </w:tr>
      <w:tr w:rsidR="00CB55E2" w:rsidRPr="00AA77C7" w:rsidTr="009536F9">
        <w:trPr>
          <w:trHeight w:val="370"/>
        </w:trPr>
        <w:tc>
          <w:tcPr>
            <w:tcW w:w="735" w:type="pct"/>
            <w:vMerge w:val="restart"/>
            <w:vAlign w:val="center"/>
          </w:tcPr>
          <w:p w:rsidR="00DF167D" w:rsidRPr="00AA77C7" w:rsidRDefault="00DF167D" w:rsidP="009536F9">
            <w:pPr>
              <w:pStyle w:val="Text1"/>
              <w:spacing w:beforeLines="20" w:before="48" w:afterLines="20" w:after="48"/>
              <w:ind w:left="136"/>
              <w:jc w:val="left"/>
              <w:rPr>
                <w:b/>
                <w:sz w:val="16"/>
                <w:szCs w:val="16"/>
              </w:rPr>
            </w:pPr>
            <w:r w:rsidRPr="00AA77C7">
              <w:rPr>
                <w:sz w:val="16"/>
              </w:rPr>
              <w:t>Financovaní z krytí programu</w:t>
            </w:r>
            <w:r w:rsidRPr="00AA77C7">
              <w:rPr>
                <w:b/>
                <w:sz w:val="16"/>
              </w:rPr>
              <w:t xml:space="preserve"> </w:t>
            </w:r>
            <w:r w:rsidRPr="00AA77C7">
              <w:rPr>
                <w:rStyle w:val="Znakapoznpodarou"/>
                <w:b/>
                <w:sz w:val="16"/>
              </w:rPr>
              <w:footnoteReference w:id="42"/>
            </w:r>
          </w:p>
        </w:tc>
        <w:tc>
          <w:tcPr>
            <w:tcW w:w="737" w:type="pct"/>
            <w:shd w:val="clear" w:color="auto" w:fill="auto"/>
            <w:vAlign w:val="center"/>
          </w:tcPr>
          <w:p w:rsidR="00DF167D" w:rsidRPr="00AA77C7" w:rsidRDefault="00DF167D" w:rsidP="009536F9">
            <w:pPr>
              <w:pStyle w:val="Text1"/>
              <w:spacing w:beforeLines="20" w:before="48" w:afterLines="20" w:after="48"/>
              <w:ind w:left="136"/>
              <w:jc w:val="left"/>
              <w:rPr>
                <w:b/>
                <w:sz w:val="16"/>
                <w:szCs w:val="16"/>
              </w:rPr>
            </w:pPr>
            <w:r w:rsidRPr="00AA77C7">
              <w:rPr>
                <w:sz w:val="16"/>
              </w:rPr>
              <w:t>– v ústředí</w:t>
            </w:r>
          </w:p>
        </w:tc>
        <w:tc>
          <w:tcPr>
            <w:tcW w:w="466" w:type="pct"/>
            <w:shd w:val="clear" w:color="auto" w:fill="auto"/>
            <w:vAlign w:val="center"/>
          </w:tcPr>
          <w:p w:rsidR="00DF167D" w:rsidRPr="00AA77C7" w:rsidRDefault="00DF167D" w:rsidP="009536F9">
            <w:pPr>
              <w:pStyle w:val="Text1"/>
              <w:spacing w:beforeLines="20" w:before="48" w:afterLines="20" w:after="48"/>
              <w:ind w:left="0"/>
              <w:jc w:val="center"/>
              <w:rPr>
                <w:sz w:val="16"/>
                <w:szCs w:val="16"/>
              </w:rPr>
            </w:pPr>
          </w:p>
        </w:tc>
        <w:tc>
          <w:tcPr>
            <w:tcW w:w="534" w:type="pct"/>
            <w:shd w:val="clear" w:color="auto" w:fill="auto"/>
            <w:vAlign w:val="center"/>
          </w:tcPr>
          <w:p w:rsidR="00DF167D" w:rsidRPr="00AA77C7" w:rsidRDefault="00DF167D" w:rsidP="009536F9">
            <w:pPr>
              <w:spacing w:beforeLines="20" w:before="48" w:afterLines="20" w:after="48"/>
              <w:jc w:val="center"/>
              <w:rPr>
                <w:noProof/>
                <w:sz w:val="16"/>
                <w:szCs w:val="16"/>
              </w:rPr>
            </w:pPr>
          </w:p>
        </w:tc>
        <w:tc>
          <w:tcPr>
            <w:tcW w:w="466" w:type="pct"/>
            <w:shd w:val="clear" w:color="auto" w:fill="auto"/>
            <w:vAlign w:val="center"/>
          </w:tcPr>
          <w:p w:rsidR="00DF167D" w:rsidRPr="00AA77C7" w:rsidRDefault="00DF167D" w:rsidP="009536F9">
            <w:pPr>
              <w:spacing w:beforeLines="20" w:before="48" w:afterLines="20" w:after="48"/>
              <w:jc w:val="center"/>
              <w:rPr>
                <w:noProof/>
                <w:sz w:val="16"/>
                <w:szCs w:val="16"/>
              </w:rPr>
            </w:pPr>
          </w:p>
        </w:tc>
        <w:tc>
          <w:tcPr>
            <w:tcW w:w="534" w:type="pct"/>
            <w:shd w:val="clear" w:color="auto" w:fill="auto"/>
            <w:vAlign w:val="center"/>
          </w:tcPr>
          <w:p w:rsidR="00DF167D" w:rsidRPr="00AA77C7" w:rsidRDefault="00DF167D" w:rsidP="009536F9">
            <w:pPr>
              <w:spacing w:beforeLines="20" w:before="48" w:afterLines="20" w:after="48"/>
              <w:jc w:val="center"/>
              <w:rPr>
                <w:noProof/>
                <w:sz w:val="16"/>
                <w:szCs w:val="16"/>
              </w:rPr>
            </w:pPr>
          </w:p>
        </w:tc>
        <w:tc>
          <w:tcPr>
            <w:tcW w:w="533" w:type="pct"/>
            <w:shd w:val="clear" w:color="auto" w:fill="auto"/>
            <w:vAlign w:val="center"/>
          </w:tcPr>
          <w:p w:rsidR="00DF167D" w:rsidRPr="00AA77C7" w:rsidRDefault="00DF167D" w:rsidP="009536F9">
            <w:pPr>
              <w:spacing w:beforeLines="20" w:before="48" w:afterLines="20" w:after="48"/>
              <w:jc w:val="center"/>
              <w:rPr>
                <w:noProof/>
                <w:sz w:val="16"/>
                <w:szCs w:val="16"/>
              </w:rPr>
            </w:pPr>
          </w:p>
        </w:tc>
        <w:tc>
          <w:tcPr>
            <w:tcW w:w="468" w:type="pct"/>
            <w:shd w:val="clear" w:color="auto" w:fill="auto"/>
            <w:vAlign w:val="center"/>
          </w:tcPr>
          <w:p w:rsidR="00DF167D" w:rsidRPr="00AA77C7" w:rsidRDefault="00DF167D" w:rsidP="009536F9">
            <w:pPr>
              <w:spacing w:beforeLines="20" w:before="48" w:afterLines="20" w:after="48"/>
              <w:jc w:val="center"/>
              <w:rPr>
                <w:noProof/>
                <w:sz w:val="16"/>
                <w:szCs w:val="16"/>
              </w:rPr>
            </w:pPr>
          </w:p>
        </w:tc>
        <w:tc>
          <w:tcPr>
            <w:tcW w:w="527" w:type="pct"/>
            <w:shd w:val="clear" w:color="auto" w:fill="auto"/>
            <w:vAlign w:val="center"/>
          </w:tcPr>
          <w:p w:rsidR="00DF167D" w:rsidRPr="00AA77C7" w:rsidRDefault="00DF167D" w:rsidP="009536F9">
            <w:pPr>
              <w:spacing w:beforeLines="20" w:before="48" w:afterLines="20" w:after="48"/>
              <w:jc w:val="center"/>
              <w:rPr>
                <w:noProof/>
                <w:sz w:val="16"/>
                <w:szCs w:val="16"/>
              </w:rPr>
            </w:pPr>
          </w:p>
        </w:tc>
      </w:tr>
      <w:tr w:rsidR="00CB55E2" w:rsidRPr="00AA77C7" w:rsidTr="009536F9">
        <w:trPr>
          <w:trHeight w:val="289"/>
        </w:trPr>
        <w:tc>
          <w:tcPr>
            <w:tcW w:w="735" w:type="pct"/>
            <w:vMerge/>
          </w:tcPr>
          <w:p w:rsidR="00DF167D" w:rsidRPr="00AA77C7" w:rsidRDefault="00DF167D" w:rsidP="009536F9">
            <w:pPr>
              <w:pStyle w:val="Text1"/>
              <w:spacing w:beforeLines="20" w:before="48" w:afterLines="20" w:after="48"/>
              <w:ind w:left="136"/>
              <w:jc w:val="left"/>
              <w:rPr>
                <w:b/>
                <w:sz w:val="16"/>
                <w:szCs w:val="16"/>
              </w:rPr>
            </w:pPr>
          </w:p>
        </w:tc>
        <w:tc>
          <w:tcPr>
            <w:tcW w:w="737" w:type="pct"/>
            <w:shd w:val="clear" w:color="auto" w:fill="auto"/>
            <w:vAlign w:val="center"/>
          </w:tcPr>
          <w:p w:rsidR="00DF167D" w:rsidRPr="00AA77C7" w:rsidRDefault="00DF167D" w:rsidP="009536F9">
            <w:pPr>
              <w:pStyle w:val="Text1"/>
              <w:spacing w:beforeLines="20" w:before="48" w:afterLines="20" w:after="48"/>
              <w:ind w:left="136"/>
              <w:jc w:val="left"/>
              <w:rPr>
                <w:b/>
                <w:sz w:val="16"/>
                <w:szCs w:val="16"/>
              </w:rPr>
            </w:pPr>
            <w:r w:rsidRPr="00AA77C7">
              <w:rPr>
                <w:sz w:val="16"/>
              </w:rPr>
              <w:t xml:space="preserve">– při delegacích </w:t>
            </w:r>
          </w:p>
        </w:tc>
        <w:tc>
          <w:tcPr>
            <w:tcW w:w="466" w:type="pct"/>
            <w:shd w:val="clear" w:color="auto" w:fill="auto"/>
            <w:vAlign w:val="center"/>
          </w:tcPr>
          <w:p w:rsidR="00DF167D" w:rsidRPr="00AA77C7" w:rsidRDefault="00DF167D" w:rsidP="009536F9">
            <w:pPr>
              <w:pStyle w:val="Text1"/>
              <w:spacing w:beforeLines="20" w:before="48" w:afterLines="20" w:after="48"/>
              <w:ind w:left="0"/>
              <w:jc w:val="center"/>
              <w:rPr>
                <w:sz w:val="16"/>
                <w:szCs w:val="16"/>
              </w:rPr>
            </w:pPr>
          </w:p>
        </w:tc>
        <w:tc>
          <w:tcPr>
            <w:tcW w:w="534" w:type="pct"/>
            <w:shd w:val="clear" w:color="auto" w:fill="auto"/>
            <w:vAlign w:val="center"/>
          </w:tcPr>
          <w:p w:rsidR="00DF167D" w:rsidRPr="00AA77C7" w:rsidRDefault="00DF167D" w:rsidP="009536F9">
            <w:pPr>
              <w:spacing w:beforeLines="20" w:before="48" w:afterLines="20" w:after="48"/>
              <w:jc w:val="center"/>
              <w:rPr>
                <w:noProof/>
                <w:sz w:val="16"/>
                <w:szCs w:val="16"/>
              </w:rPr>
            </w:pPr>
          </w:p>
        </w:tc>
        <w:tc>
          <w:tcPr>
            <w:tcW w:w="466" w:type="pct"/>
            <w:shd w:val="clear" w:color="auto" w:fill="auto"/>
            <w:vAlign w:val="center"/>
          </w:tcPr>
          <w:p w:rsidR="00DF167D" w:rsidRPr="00AA77C7" w:rsidRDefault="00DF167D" w:rsidP="009536F9">
            <w:pPr>
              <w:spacing w:beforeLines="20" w:before="48" w:afterLines="20" w:after="48"/>
              <w:jc w:val="center"/>
              <w:rPr>
                <w:noProof/>
                <w:sz w:val="16"/>
                <w:szCs w:val="16"/>
              </w:rPr>
            </w:pPr>
          </w:p>
        </w:tc>
        <w:tc>
          <w:tcPr>
            <w:tcW w:w="534" w:type="pct"/>
            <w:shd w:val="clear" w:color="auto" w:fill="auto"/>
            <w:vAlign w:val="center"/>
          </w:tcPr>
          <w:p w:rsidR="00DF167D" w:rsidRPr="00AA77C7" w:rsidRDefault="00DF167D" w:rsidP="009536F9">
            <w:pPr>
              <w:spacing w:beforeLines="20" w:before="48" w:afterLines="20" w:after="48"/>
              <w:jc w:val="center"/>
              <w:rPr>
                <w:noProof/>
                <w:sz w:val="16"/>
                <w:szCs w:val="16"/>
              </w:rPr>
            </w:pPr>
          </w:p>
        </w:tc>
        <w:tc>
          <w:tcPr>
            <w:tcW w:w="533" w:type="pct"/>
            <w:shd w:val="clear" w:color="auto" w:fill="auto"/>
            <w:vAlign w:val="center"/>
          </w:tcPr>
          <w:p w:rsidR="00DF167D" w:rsidRPr="00AA77C7" w:rsidRDefault="00DF167D" w:rsidP="009536F9">
            <w:pPr>
              <w:spacing w:beforeLines="20" w:before="48" w:afterLines="20" w:after="48"/>
              <w:jc w:val="center"/>
              <w:rPr>
                <w:noProof/>
                <w:sz w:val="16"/>
                <w:szCs w:val="16"/>
              </w:rPr>
            </w:pPr>
          </w:p>
        </w:tc>
        <w:tc>
          <w:tcPr>
            <w:tcW w:w="468" w:type="pct"/>
            <w:shd w:val="clear" w:color="auto" w:fill="auto"/>
            <w:vAlign w:val="center"/>
          </w:tcPr>
          <w:p w:rsidR="00DF167D" w:rsidRPr="00AA77C7" w:rsidRDefault="00DF167D" w:rsidP="009536F9">
            <w:pPr>
              <w:spacing w:beforeLines="20" w:before="48" w:afterLines="20" w:after="48"/>
              <w:jc w:val="center"/>
              <w:rPr>
                <w:noProof/>
                <w:sz w:val="16"/>
                <w:szCs w:val="16"/>
              </w:rPr>
            </w:pPr>
          </w:p>
        </w:tc>
        <w:tc>
          <w:tcPr>
            <w:tcW w:w="527" w:type="pct"/>
            <w:shd w:val="clear" w:color="auto" w:fill="auto"/>
            <w:vAlign w:val="center"/>
          </w:tcPr>
          <w:p w:rsidR="00DF167D" w:rsidRPr="00AA77C7" w:rsidRDefault="00DF167D" w:rsidP="009536F9">
            <w:pPr>
              <w:spacing w:beforeLines="20" w:before="48" w:afterLines="20" w:after="48"/>
              <w:jc w:val="center"/>
              <w:rPr>
                <w:noProof/>
                <w:sz w:val="16"/>
                <w:szCs w:val="16"/>
              </w:rPr>
            </w:pPr>
          </w:p>
        </w:tc>
      </w:tr>
      <w:tr w:rsidR="00CB55E2" w:rsidRPr="00AA77C7" w:rsidTr="009536F9">
        <w:trPr>
          <w:trHeight w:val="289"/>
        </w:trPr>
        <w:tc>
          <w:tcPr>
            <w:tcW w:w="1472" w:type="pct"/>
            <w:gridSpan w:val="2"/>
          </w:tcPr>
          <w:p w:rsidR="00DF167D" w:rsidRPr="00AA77C7" w:rsidRDefault="00DF167D" w:rsidP="009536F9">
            <w:pPr>
              <w:pStyle w:val="Text1"/>
              <w:spacing w:beforeLines="20" w:before="48" w:afterLines="20" w:after="48"/>
              <w:ind w:left="136"/>
              <w:jc w:val="left"/>
              <w:rPr>
                <w:sz w:val="16"/>
                <w:szCs w:val="16"/>
              </w:rPr>
            </w:pPr>
            <w:r w:rsidRPr="00AA77C7">
              <w:rPr>
                <w:sz w:val="16"/>
              </w:rPr>
              <w:t>Výzkum</w:t>
            </w:r>
          </w:p>
        </w:tc>
        <w:tc>
          <w:tcPr>
            <w:tcW w:w="466" w:type="pct"/>
            <w:shd w:val="clear" w:color="auto" w:fill="auto"/>
            <w:vAlign w:val="center"/>
          </w:tcPr>
          <w:p w:rsidR="00DF167D" w:rsidRPr="00AA77C7" w:rsidRDefault="00DF167D" w:rsidP="009536F9">
            <w:pPr>
              <w:spacing w:beforeLines="20" w:before="48" w:afterLines="20" w:after="48"/>
              <w:jc w:val="center"/>
              <w:rPr>
                <w:noProof/>
                <w:sz w:val="16"/>
                <w:szCs w:val="16"/>
              </w:rPr>
            </w:pPr>
          </w:p>
        </w:tc>
        <w:tc>
          <w:tcPr>
            <w:tcW w:w="534" w:type="pct"/>
            <w:shd w:val="clear" w:color="auto" w:fill="auto"/>
            <w:vAlign w:val="center"/>
          </w:tcPr>
          <w:p w:rsidR="00DF167D" w:rsidRPr="00AA77C7" w:rsidRDefault="00DF167D" w:rsidP="009536F9">
            <w:pPr>
              <w:spacing w:beforeLines="20" w:before="48" w:afterLines="20" w:after="48"/>
              <w:jc w:val="center"/>
              <w:rPr>
                <w:noProof/>
                <w:sz w:val="16"/>
                <w:szCs w:val="16"/>
              </w:rPr>
            </w:pPr>
          </w:p>
        </w:tc>
        <w:tc>
          <w:tcPr>
            <w:tcW w:w="466" w:type="pct"/>
            <w:shd w:val="clear" w:color="auto" w:fill="auto"/>
            <w:vAlign w:val="center"/>
          </w:tcPr>
          <w:p w:rsidR="00DF167D" w:rsidRPr="00AA77C7" w:rsidRDefault="00DF167D" w:rsidP="009536F9">
            <w:pPr>
              <w:spacing w:beforeLines="20" w:before="48" w:afterLines="20" w:after="48"/>
              <w:jc w:val="center"/>
              <w:rPr>
                <w:noProof/>
                <w:sz w:val="16"/>
                <w:szCs w:val="16"/>
              </w:rPr>
            </w:pPr>
          </w:p>
        </w:tc>
        <w:tc>
          <w:tcPr>
            <w:tcW w:w="534" w:type="pct"/>
            <w:shd w:val="clear" w:color="auto" w:fill="auto"/>
            <w:vAlign w:val="center"/>
          </w:tcPr>
          <w:p w:rsidR="00DF167D" w:rsidRPr="00AA77C7" w:rsidRDefault="00DF167D" w:rsidP="009536F9">
            <w:pPr>
              <w:spacing w:beforeLines="20" w:before="48" w:afterLines="20" w:after="48"/>
              <w:jc w:val="center"/>
              <w:rPr>
                <w:noProof/>
                <w:sz w:val="16"/>
                <w:szCs w:val="16"/>
              </w:rPr>
            </w:pPr>
          </w:p>
        </w:tc>
        <w:tc>
          <w:tcPr>
            <w:tcW w:w="533" w:type="pct"/>
            <w:shd w:val="clear" w:color="auto" w:fill="auto"/>
            <w:vAlign w:val="center"/>
          </w:tcPr>
          <w:p w:rsidR="00DF167D" w:rsidRPr="00AA77C7" w:rsidRDefault="00DF167D" w:rsidP="009536F9">
            <w:pPr>
              <w:spacing w:beforeLines="20" w:before="48" w:afterLines="20" w:after="48"/>
              <w:jc w:val="center"/>
              <w:rPr>
                <w:noProof/>
                <w:sz w:val="16"/>
                <w:szCs w:val="16"/>
              </w:rPr>
            </w:pPr>
          </w:p>
        </w:tc>
        <w:tc>
          <w:tcPr>
            <w:tcW w:w="468" w:type="pct"/>
            <w:shd w:val="clear" w:color="auto" w:fill="auto"/>
            <w:vAlign w:val="center"/>
          </w:tcPr>
          <w:p w:rsidR="00DF167D" w:rsidRPr="00AA77C7" w:rsidRDefault="00DF167D" w:rsidP="009536F9">
            <w:pPr>
              <w:spacing w:beforeLines="20" w:before="48" w:afterLines="20" w:after="48"/>
              <w:jc w:val="center"/>
              <w:rPr>
                <w:noProof/>
                <w:sz w:val="16"/>
                <w:szCs w:val="16"/>
              </w:rPr>
            </w:pPr>
          </w:p>
        </w:tc>
        <w:tc>
          <w:tcPr>
            <w:tcW w:w="527" w:type="pct"/>
            <w:shd w:val="clear" w:color="auto" w:fill="auto"/>
            <w:vAlign w:val="center"/>
          </w:tcPr>
          <w:p w:rsidR="00DF167D" w:rsidRPr="00AA77C7" w:rsidRDefault="00DF167D" w:rsidP="009536F9">
            <w:pPr>
              <w:spacing w:beforeLines="20" w:before="48" w:afterLines="20" w:after="48"/>
              <w:jc w:val="center"/>
              <w:rPr>
                <w:noProof/>
                <w:sz w:val="16"/>
                <w:szCs w:val="16"/>
              </w:rPr>
            </w:pPr>
          </w:p>
        </w:tc>
      </w:tr>
      <w:tr w:rsidR="00CB55E2" w:rsidRPr="00AA77C7" w:rsidTr="009536F9">
        <w:trPr>
          <w:trHeight w:val="289"/>
        </w:trPr>
        <w:tc>
          <w:tcPr>
            <w:tcW w:w="1472" w:type="pct"/>
            <w:gridSpan w:val="2"/>
            <w:tcBorders>
              <w:bottom w:val="double" w:sz="4" w:space="0" w:color="auto"/>
            </w:tcBorders>
          </w:tcPr>
          <w:p w:rsidR="00DF167D" w:rsidRPr="00AA77C7" w:rsidRDefault="00DF167D" w:rsidP="009536F9">
            <w:pPr>
              <w:pStyle w:val="Text1"/>
              <w:spacing w:beforeLines="20" w:before="48" w:afterLines="20" w:after="48"/>
              <w:ind w:left="134"/>
              <w:jc w:val="left"/>
              <w:rPr>
                <w:sz w:val="16"/>
                <w:szCs w:val="16"/>
              </w:rPr>
            </w:pPr>
            <w:r w:rsidRPr="00AA77C7">
              <w:rPr>
                <w:sz w:val="16"/>
              </w:rPr>
              <w:t>Jiné (upřesněte)</w:t>
            </w:r>
          </w:p>
        </w:tc>
        <w:tc>
          <w:tcPr>
            <w:tcW w:w="466" w:type="pct"/>
            <w:tcBorders>
              <w:bottom w:val="double" w:sz="4" w:space="0" w:color="auto"/>
            </w:tcBorders>
            <w:shd w:val="clear" w:color="auto" w:fill="auto"/>
            <w:vAlign w:val="center"/>
          </w:tcPr>
          <w:p w:rsidR="00DF167D" w:rsidRPr="00AA77C7" w:rsidRDefault="00DF167D" w:rsidP="009536F9">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rsidR="00DF167D" w:rsidRPr="00AA77C7" w:rsidRDefault="00DF167D" w:rsidP="009536F9">
            <w:pPr>
              <w:spacing w:beforeLines="20" w:before="48" w:afterLines="20" w:after="48"/>
              <w:jc w:val="center"/>
              <w:rPr>
                <w:noProof/>
                <w:sz w:val="16"/>
                <w:szCs w:val="16"/>
              </w:rPr>
            </w:pPr>
          </w:p>
        </w:tc>
        <w:tc>
          <w:tcPr>
            <w:tcW w:w="466" w:type="pct"/>
            <w:tcBorders>
              <w:bottom w:val="double" w:sz="4" w:space="0" w:color="auto"/>
            </w:tcBorders>
            <w:shd w:val="clear" w:color="auto" w:fill="auto"/>
            <w:vAlign w:val="center"/>
          </w:tcPr>
          <w:p w:rsidR="00DF167D" w:rsidRPr="00AA77C7" w:rsidRDefault="00DF167D" w:rsidP="009536F9">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rsidR="00DF167D" w:rsidRPr="00AA77C7" w:rsidRDefault="00DF167D" w:rsidP="009536F9">
            <w:pPr>
              <w:spacing w:beforeLines="20" w:before="48" w:afterLines="20" w:after="48"/>
              <w:jc w:val="center"/>
              <w:rPr>
                <w:noProof/>
                <w:sz w:val="16"/>
                <w:szCs w:val="16"/>
              </w:rPr>
            </w:pPr>
          </w:p>
        </w:tc>
        <w:tc>
          <w:tcPr>
            <w:tcW w:w="533" w:type="pct"/>
            <w:tcBorders>
              <w:bottom w:val="double" w:sz="4" w:space="0" w:color="auto"/>
            </w:tcBorders>
            <w:shd w:val="clear" w:color="auto" w:fill="auto"/>
            <w:vAlign w:val="center"/>
          </w:tcPr>
          <w:p w:rsidR="00DF167D" w:rsidRPr="00AA77C7" w:rsidRDefault="00DF167D" w:rsidP="009536F9">
            <w:pPr>
              <w:spacing w:beforeLines="20" w:before="48" w:afterLines="20" w:after="48"/>
              <w:jc w:val="center"/>
              <w:rPr>
                <w:noProof/>
                <w:sz w:val="16"/>
                <w:szCs w:val="16"/>
              </w:rPr>
            </w:pPr>
          </w:p>
        </w:tc>
        <w:tc>
          <w:tcPr>
            <w:tcW w:w="468" w:type="pct"/>
            <w:tcBorders>
              <w:bottom w:val="double" w:sz="4" w:space="0" w:color="auto"/>
            </w:tcBorders>
            <w:shd w:val="clear" w:color="auto" w:fill="auto"/>
            <w:vAlign w:val="center"/>
          </w:tcPr>
          <w:p w:rsidR="00DF167D" w:rsidRPr="00AA77C7" w:rsidRDefault="00DF167D" w:rsidP="009536F9">
            <w:pPr>
              <w:spacing w:beforeLines="20" w:before="48" w:afterLines="20" w:after="48"/>
              <w:jc w:val="center"/>
              <w:rPr>
                <w:noProof/>
                <w:sz w:val="16"/>
                <w:szCs w:val="16"/>
              </w:rPr>
            </w:pPr>
          </w:p>
        </w:tc>
        <w:tc>
          <w:tcPr>
            <w:tcW w:w="527" w:type="pct"/>
            <w:tcBorders>
              <w:bottom w:val="double" w:sz="4" w:space="0" w:color="auto"/>
            </w:tcBorders>
            <w:shd w:val="clear" w:color="auto" w:fill="auto"/>
            <w:vAlign w:val="center"/>
          </w:tcPr>
          <w:p w:rsidR="00DF167D" w:rsidRPr="00AA77C7" w:rsidRDefault="00DF167D" w:rsidP="009536F9">
            <w:pPr>
              <w:spacing w:beforeLines="20" w:before="48" w:afterLines="20" w:after="48"/>
              <w:jc w:val="center"/>
              <w:rPr>
                <w:noProof/>
                <w:sz w:val="16"/>
                <w:szCs w:val="16"/>
              </w:rPr>
            </w:pPr>
          </w:p>
        </w:tc>
      </w:tr>
      <w:tr w:rsidR="00CB55E2" w:rsidRPr="00AA77C7" w:rsidTr="009536F9">
        <w:trPr>
          <w:trHeight w:val="289"/>
        </w:trPr>
        <w:tc>
          <w:tcPr>
            <w:tcW w:w="1472" w:type="pct"/>
            <w:gridSpan w:val="2"/>
            <w:tcBorders>
              <w:top w:val="double" w:sz="4" w:space="0" w:color="auto"/>
            </w:tcBorders>
          </w:tcPr>
          <w:p w:rsidR="00DF167D" w:rsidRPr="00AA77C7" w:rsidRDefault="00DF167D" w:rsidP="009536F9">
            <w:pPr>
              <w:pStyle w:val="Text1"/>
              <w:spacing w:beforeLines="20" w:before="48" w:afterLines="20" w:after="48"/>
              <w:ind w:left="136"/>
              <w:jc w:val="left"/>
              <w:rPr>
                <w:sz w:val="16"/>
                <w:szCs w:val="16"/>
              </w:rPr>
            </w:pPr>
            <w:r w:rsidRPr="00AA77C7">
              <w:rPr>
                <w:b/>
                <w:sz w:val="16"/>
              </w:rPr>
              <w:t>CELKEM</w:t>
            </w:r>
          </w:p>
        </w:tc>
        <w:tc>
          <w:tcPr>
            <w:tcW w:w="466" w:type="pct"/>
            <w:tcBorders>
              <w:top w:val="double" w:sz="4" w:space="0" w:color="auto"/>
            </w:tcBorders>
            <w:shd w:val="clear" w:color="auto" w:fill="auto"/>
            <w:vAlign w:val="center"/>
          </w:tcPr>
          <w:p w:rsidR="00DF167D" w:rsidRPr="00AA77C7" w:rsidRDefault="00DF167D" w:rsidP="009536F9">
            <w:pPr>
              <w:spacing w:beforeLines="20" w:before="48" w:afterLines="20" w:after="48"/>
              <w:jc w:val="center"/>
              <w:rPr>
                <w:b/>
                <w:sz w:val="20"/>
              </w:rPr>
            </w:pPr>
            <w:r w:rsidRPr="00AA77C7">
              <w:rPr>
                <w:b/>
                <w:noProof/>
                <w:sz w:val="20"/>
              </w:rPr>
              <w:t>106</w:t>
            </w:r>
          </w:p>
        </w:tc>
        <w:tc>
          <w:tcPr>
            <w:tcW w:w="534" w:type="pct"/>
            <w:tcBorders>
              <w:top w:val="double" w:sz="4" w:space="0" w:color="auto"/>
            </w:tcBorders>
            <w:shd w:val="clear" w:color="auto" w:fill="auto"/>
            <w:vAlign w:val="center"/>
          </w:tcPr>
          <w:p w:rsidR="00DF167D" w:rsidRPr="00AA77C7" w:rsidRDefault="00DF167D" w:rsidP="009536F9">
            <w:pPr>
              <w:spacing w:beforeLines="20" w:before="48" w:afterLines="20" w:after="48"/>
              <w:jc w:val="center"/>
              <w:rPr>
                <w:b/>
                <w:sz w:val="20"/>
              </w:rPr>
            </w:pPr>
            <w:r w:rsidRPr="00AA77C7">
              <w:rPr>
                <w:b/>
                <w:noProof/>
                <w:sz w:val="20"/>
              </w:rPr>
              <w:t>116</w:t>
            </w:r>
          </w:p>
        </w:tc>
        <w:tc>
          <w:tcPr>
            <w:tcW w:w="466" w:type="pct"/>
            <w:tcBorders>
              <w:top w:val="double" w:sz="4" w:space="0" w:color="auto"/>
            </w:tcBorders>
            <w:shd w:val="clear" w:color="auto" w:fill="auto"/>
            <w:vAlign w:val="center"/>
          </w:tcPr>
          <w:p w:rsidR="00DF167D" w:rsidRPr="00AA77C7" w:rsidRDefault="00DF167D" w:rsidP="009536F9">
            <w:pPr>
              <w:spacing w:beforeLines="20" w:before="48" w:afterLines="20" w:after="48"/>
              <w:jc w:val="center"/>
              <w:rPr>
                <w:b/>
                <w:sz w:val="20"/>
              </w:rPr>
            </w:pPr>
            <w:r w:rsidRPr="00AA77C7">
              <w:rPr>
                <w:b/>
                <w:noProof/>
                <w:sz w:val="20"/>
              </w:rPr>
              <w:t>124</w:t>
            </w:r>
          </w:p>
        </w:tc>
        <w:tc>
          <w:tcPr>
            <w:tcW w:w="534" w:type="pct"/>
            <w:tcBorders>
              <w:top w:val="double" w:sz="4" w:space="0" w:color="auto"/>
            </w:tcBorders>
            <w:shd w:val="clear" w:color="auto" w:fill="auto"/>
            <w:vAlign w:val="center"/>
          </w:tcPr>
          <w:p w:rsidR="00DF167D" w:rsidRPr="00AA77C7" w:rsidRDefault="00DF167D" w:rsidP="005D43D3">
            <w:pPr>
              <w:jc w:val="center"/>
              <w:rPr>
                <w:sz w:val="20"/>
              </w:rPr>
            </w:pPr>
            <w:r w:rsidRPr="00AA77C7">
              <w:rPr>
                <w:b/>
                <w:noProof/>
                <w:sz w:val="20"/>
              </w:rPr>
              <w:t>124</w:t>
            </w:r>
          </w:p>
        </w:tc>
        <w:tc>
          <w:tcPr>
            <w:tcW w:w="533" w:type="pct"/>
            <w:tcBorders>
              <w:top w:val="double" w:sz="4" w:space="0" w:color="auto"/>
            </w:tcBorders>
            <w:shd w:val="clear" w:color="auto" w:fill="auto"/>
            <w:vAlign w:val="center"/>
          </w:tcPr>
          <w:p w:rsidR="00DF167D" w:rsidRPr="00AA77C7" w:rsidRDefault="00DF167D" w:rsidP="005D43D3">
            <w:pPr>
              <w:jc w:val="center"/>
              <w:rPr>
                <w:sz w:val="20"/>
              </w:rPr>
            </w:pPr>
            <w:r w:rsidRPr="00AA77C7">
              <w:rPr>
                <w:b/>
                <w:noProof/>
                <w:sz w:val="20"/>
              </w:rPr>
              <w:t>124</w:t>
            </w:r>
          </w:p>
        </w:tc>
        <w:tc>
          <w:tcPr>
            <w:tcW w:w="468" w:type="pct"/>
            <w:tcBorders>
              <w:top w:val="double" w:sz="4" w:space="0" w:color="auto"/>
            </w:tcBorders>
            <w:shd w:val="clear" w:color="auto" w:fill="auto"/>
            <w:vAlign w:val="center"/>
          </w:tcPr>
          <w:p w:rsidR="00DF167D" w:rsidRPr="00AA77C7" w:rsidRDefault="00DF167D" w:rsidP="005D43D3">
            <w:pPr>
              <w:jc w:val="center"/>
              <w:rPr>
                <w:sz w:val="20"/>
              </w:rPr>
            </w:pPr>
            <w:r w:rsidRPr="00AA77C7">
              <w:rPr>
                <w:b/>
                <w:noProof/>
                <w:sz w:val="20"/>
              </w:rPr>
              <w:t>124</w:t>
            </w:r>
          </w:p>
        </w:tc>
        <w:tc>
          <w:tcPr>
            <w:tcW w:w="527" w:type="pct"/>
            <w:tcBorders>
              <w:top w:val="double" w:sz="4" w:space="0" w:color="auto"/>
            </w:tcBorders>
            <w:shd w:val="clear" w:color="auto" w:fill="auto"/>
            <w:vAlign w:val="center"/>
          </w:tcPr>
          <w:p w:rsidR="00DF167D" w:rsidRPr="00AA77C7" w:rsidRDefault="00DF167D" w:rsidP="005D43D3">
            <w:pPr>
              <w:jc w:val="center"/>
              <w:rPr>
                <w:sz w:val="20"/>
              </w:rPr>
            </w:pPr>
            <w:r w:rsidRPr="00AA77C7">
              <w:rPr>
                <w:b/>
                <w:noProof/>
                <w:sz w:val="20"/>
              </w:rPr>
              <w:t>124</w:t>
            </w:r>
          </w:p>
        </w:tc>
      </w:tr>
    </w:tbl>
    <w:p w:rsidR="00DF167D" w:rsidRPr="00AA77C7" w:rsidRDefault="00DF167D" w:rsidP="00DF167D">
      <w:pPr>
        <w:pStyle w:val="Text1"/>
        <w:ind w:left="0"/>
        <w:rPr>
          <w:sz w:val="18"/>
          <w:szCs w:val="18"/>
        </w:rPr>
      </w:pPr>
      <w:r w:rsidRPr="00AA77C7">
        <w:rPr>
          <w:sz w:val="18"/>
        </w:rPr>
        <w:t>Potřeby v oblasti lidských zdrojů budou pokryty ze zdrojů GŘ, které jsou již vyčleněny na řízení akce a/nebo byly vnitřně přeobsazeny v rámci GŘ a případně doplněny z dodatečného přídělu, který lze řídícímu GŘ poskytnout v rámci ročního přidělování a s ohledem na rozpočtová omezení.</w:t>
      </w:r>
    </w:p>
    <w:p w:rsidR="00DF167D" w:rsidRPr="00AA77C7" w:rsidRDefault="00DF167D" w:rsidP="00DF167D">
      <w:pPr>
        <w:rPr>
          <w:noProof/>
          <w:sz w:val="20"/>
        </w:rPr>
      </w:pPr>
      <w:r w:rsidRPr="00AA77C7">
        <w:rPr>
          <w:noProof/>
          <w:sz w:val="20"/>
        </w:rPr>
        <w:t>Popis úkolů:</w:t>
      </w:r>
    </w:p>
    <w:tbl>
      <w:tblPr>
        <w:tblW w:w="10632"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392"/>
      </w:tblGrid>
      <w:tr w:rsidR="00CB55E2" w:rsidRPr="00AA77C7" w:rsidTr="009536F9">
        <w:tc>
          <w:tcPr>
            <w:tcW w:w="3240" w:type="dxa"/>
          </w:tcPr>
          <w:p w:rsidR="00DF167D" w:rsidRPr="00AA77C7" w:rsidRDefault="00DF167D" w:rsidP="009536F9">
            <w:pPr>
              <w:rPr>
                <w:noProof/>
                <w:sz w:val="20"/>
              </w:rPr>
            </w:pPr>
            <w:r w:rsidRPr="00AA77C7">
              <w:rPr>
                <w:noProof/>
                <w:sz w:val="20"/>
              </w:rPr>
              <w:t>Úředníci a dočasní zaměstnanci</w:t>
            </w:r>
          </w:p>
        </w:tc>
        <w:tc>
          <w:tcPr>
            <w:tcW w:w="7392" w:type="dxa"/>
          </w:tcPr>
          <w:p w:rsidR="00DF167D" w:rsidRPr="00AA77C7" w:rsidRDefault="00DF167D" w:rsidP="009536F9">
            <w:pPr>
              <w:rPr>
                <w:noProof/>
                <w:sz w:val="20"/>
              </w:rPr>
            </w:pPr>
          </w:p>
        </w:tc>
      </w:tr>
      <w:tr w:rsidR="00CB55E2" w:rsidRPr="00AA77C7" w:rsidTr="009536F9">
        <w:tc>
          <w:tcPr>
            <w:tcW w:w="3240" w:type="dxa"/>
          </w:tcPr>
          <w:p w:rsidR="00DF167D" w:rsidRPr="00AA77C7" w:rsidRDefault="00DF167D" w:rsidP="009536F9">
            <w:pPr>
              <w:spacing w:before="60" w:after="60"/>
              <w:rPr>
                <w:noProof/>
                <w:sz w:val="20"/>
              </w:rPr>
            </w:pPr>
            <w:r w:rsidRPr="00AA77C7">
              <w:rPr>
                <w:noProof/>
                <w:sz w:val="20"/>
              </w:rPr>
              <w:t>Externí zaměstnanci</w:t>
            </w:r>
          </w:p>
        </w:tc>
        <w:tc>
          <w:tcPr>
            <w:tcW w:w="7392" w:type="dxa"/>
          </w:tcPr>
          <w:p w:rsidR="00DF167D" w:rsidRPr="00AA77C7" w:rsidRDefault="00DF167D" w:rsidP="009536F9">
            <w:pPr>
              <w:rPr>
                <w:noProof/>
                <w:sz w:val="20"/>
              </w:rPr>
            </w:pPr>
          </w:p>
        </w:tc>
      </w:tr>
    </w:tbl>
    <w:p w:rsidR="00DF167D" w:rsidRPr="00AA77C7" w:rsidRDefault="00DF167D" w:rsidP="00DF167D">
      <w:pPr>
        <w:rPr>
          <w:noProof/>
        </w:rPr>
        <w:sectPr w:rsidR="00DF167D" w:rsidRPr="00AA77C7" w:rsidSect="00DA02CA">
          <w:pgSz w:w="11907" w:h="16840"/>
          <w:pgMar w:top="1134" w:right="1418" w:bottom="1134" w:left="1418" w:header="709" w:footer="709" w:gutter="0"/>
          <w:cols w:space="708"/>
          <w:docGrid w:linePitch="360"/>
        </w:sectPr>
      </w:pPr>
    </w:p>
    <w:p w:rsidR="00DF167D" w:rsidRPr="00AA77C7" w:rsidRDefault="00DF167D" w:rsidP="00DF167D">
      <w:pPr>
        <w:pStyle w:val="Nadpis3"/>
        <w:rPr>
          <w:bCs w:val="0"/>
          <w:noProof/>
          <w:szCs w:val="24"/>
        </w:rPr>
      </w:pPr>
      <w:r w:rsidRPr="00AA77C7">
        <w:lastRenderedPageBreak/>
        <w:t xml:space="preserve">Příspěvky třetích stran </w:t>
      </w:r>
    </w:p>
    <w:p w:rsidR="00DF167D" w:rsidRPr="00AA77C7" w:rsidRDefault="00DF167D" w:rsidP="00DF167D">
      <w:pPr>
        <w:pStyle w:val="Text1"/>
      </w:pPr>
      <w:r w:rsidRPr="00AA77C7">
        <w:t>Návrh/podnět:</w:t>
      </w:r>
    </w:p>
    <w:p w:rsidR="00DF167D" w:rsidRPr="00AA77C7" w:rsidRDefault="00DF167D" w:rsidP="00DF167D">
      <w:pPr>
        <w:pStyle w:val="ListDash1"/>
      </w:pPr>
      <w:r w:rsidRPr="00AA77C7">
        <w:sym w:font="Wingdings" w:char="F0A8"/>
      </w:r>
      <w:r w:rsidRPr="00AA77C7">
        <w:tab/>
        <w:t>nepočítá se spolufinancováním od třetích stran.</w:t>
      </w:r>
    </w:p>
    <w:p w:rsidR="00DF167D" w:rsidRPr="00AA77C7" w:rsidRDefault="004B7D3B" w:rsidP="00DF167D">
      <w:pPr>
        <w:pStyle w:val="ListDash1"/>
      </w:pPr>
      <w:r w:rsidRPr="00AA77C7">
        <w:sym w:font="Wingdings" w:char="F078"/>
      </w:r>
      <w:r w:rsidRPr="00AA77C7">
        <w:tab/>
        <w:t>počítá se spolufinancováním od třetích stran podle následujícího odhadu:</w:t>
      </w:r>
    </w:p>
    <w:p w:rsidR="00DF167D" w:rsidRPr="00AA77C7" w:rsidRDefault="00DF167D" w:rsidP="00DF167D">
      <w:pPr>
        <w:jc w:val="right"/>
        <w:rPr>
          <w:noProof/>
          <w:sz w:val="20"/>
        </w:rPr>
      </w:pPr>
      <w:r w:rsidRPr="00AA77C7">
        <w:rPr>
          <w:noProof/>
          <w:sz w:val="20"/>
        </w:rPr>
        <w:t>prostředky v milionech EUR (zaokrouhleno na tři desetinná místa)</w:t>
      </w:r>
    </w:p>
    <w:tbl>
      <w:tblPr>
        <w:tblW w:w="102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CB55E2" w:rsidRPr="00AA77C7" w:rsidTr="009536F9">
        <w:trPr>
          <w:cantSplit/>
          <w:jc w:val="center"/>
        </w:trPr>
        <w:tc>
          <w:tcPr>
            <w:tcW w:w="2340" w:type="dxa"/>
            <w:vAlign w:val="center"/>
          </w:tcPr>
          <w:p w:rsidR="00DF167D" w:rsidRPr="00AA77C7" w:rsidRDefault="00DF167D" w:rsidP="009536F9">
            <w:pPr>
              <w:spacing w:before="60" w:after="60"/>
              <w:jc w:val="center"/>
              <w:rPr>
                <w:b/>
                <w:noProof/>
                <w:sz w:val="20"/>
              </w:rPr>
            </w:pPr>
            <w:r w:rsidRPr="00AA77C7">
              <w:rPr>
                <w:b/>
                <w:noProof/>
                <w:sz w:val="20"/>
              </w:rPr>
              <w:t>Roky</w:t>
            </w:r>
          </w:p>
        </w:tc>
        <w:tc>
          <w:tcPr>
            <w:tcW w:w="964" w:type="dxa"/>
            <w:vAlign w:val="center"/>
          </w:tcPr>
          <w:p w:rsidR="00DF167D" w:rsidRPr="00AA77C7" w:rsidRDefault="00DF167D" w:rsidP="009536F9">
            <w:pPr>
              <w:jc w:val="center"/>
              <w:rPr>
                <w:noProof/>
                <w:sz w:val="20"/>
              </w:rPr>
            </w:pPr>
            <w:r w:rsidRPr="00AA77C7">
              <w:rPr>
                <w:b/>
                <w:noProof/>
                <w:sz w:val="20"/>
              </w:rPr>
              <w:t>2021</w:t>
            </w:r>
          </w:p>
        </w:tc>
        <w:tc>
          <w:tcPr>
            <w:tcW w:w="964" w:type="dxa"/>
            <w:vAlign w:val="center"/>
          </w:tcPr>
          <w:p w:rsidR="00DF167D" w:rsidRPr="00AA77C7" w:rsidRDefault="00DF167D" w:rsidP="009536F9">
            <w:pPr>
              <w:jc w:val="center"/>
              <w:rPr>
                <w:b/>
                <w:noProof/>
                <w:sz w:val="20"/>
              </w:rPr>
            </w:pPr>
            <w:r w:rsidRPr="00AA77C7">
              <w:rPr>
                <w:b/>
                <w:noProof/>
                <w:sz w:val="20"/>
              </w:rPr>
              <w:t>2022</w:t>
            </w:r>
          </w:p>
        </w:tc>
        <w:tc>
          <w:tcPr>
            <w:tcW w:w="964" w:type="dxa"/>
            <w:vAlign w:val="center"/>
          </w:tcPr>
          <w:p w:rsidR="00DF167D" w:rsidRPr="00AA77C7" w:rsidRDefault="00DF167D" w:rsidP="009536F9">
            <w:pPr>
              <w:jc w:val="center"/>
              <w:rPr>
                <w:b/>
                <w:noProof/>
                <w:sz w:val="20"/>
              </w:rPr>
            </w:pPr>
            <w:r w:rsidRPr="00AA77C7">
              <w:rPr>
                <w:b/>
                <w:noProof/>
                <w:sz w:val="20"/>
              </w:rPr>
              <w:t>2023</w:t>
            </w:r>
          </w:p>
        </w:tc>
        <w:tc>
          <w:tcPr>
            <w:tcW w:w="964" w:type="dxa"/>
            <w:vAlign w:val="center"/>
          </w:tcPr>
          <w:p w:rsidR="00DF167D" w:rsidRPr="00AA77C7" w:rsidRDefault="00DF167D" w:rsidP="009536F9">
            <w:pPr>
              <w:jc w:val="center"/>
              <w:rPr>
                <w:b/>
                <w:noProof/>
                <w:sz w:val="20"/>
              </w:rPr>
            </w:pPr>
            <w:r w:rsidRPr="00AA77C7">
              <w:rPr>
                <w:b/>
                <w:noProof/>
                <w:sz w:val="20"/>
              </w:rPr>
              <w:t>2024</w:t>
            </w:r>
          </w:p>
        </w:tc>
        <w:tc>
          <w:tcPr>
            <w:tcW w:w="964" w:type="dxa"/>
            <w:vAlign w:val="center"/>
          </w:tcPr>
          <w:p w:rsidR="00DF167D" w:rsidRPr="00AA77C7" w:rsidRDefault="00DF167D" w:rsidP="009536F9">
            <w:pPr>
              <w:jc w:val="center"/>
              <w:rPr>
                <w:b/>
                <w:noProof/>
                <w:sz w:val="20"/>
              </w:rPr>
            </w:pPr>
            <w:r w:rsidRPr="00AA77C7">
              <w:rPr>
                <w:b/>
                <w:noProof/>
                <w:sz w:val="20"/>
              </w:rPr>
              <w:t>2025</w:t>
            </w:r>
          </w:p>
        </w:tc>
        <w:tc>
          <w:tcPr>
            <w:tcW w:w="964" w:type="dxa"/>
            <w:vAlign w:val="center"/>
          </w:tcPr>
          <w:p w:rsidR="00DF167D" w:rsidRPr="00AA77C7" w:rsidRDefault="00DF167D" w:rsidP="009536F9">
            <w:pPr>
              <w:jc w:val="center"/>
              <w:rPr>
                <w:b/>
                <w:noProof/>
                <w:sz w:val="20"/>
              </w:rPr>
            </w:pPr>
            <w:r w:rsidRPr="00AA77C7">
              <w:rPr>
                <w:b/>
                <w:noProof/>
                <w:sz w:val="20"/>
              </w:rPr>
              <w:t>2026</w:t>
            </w:r>
          </w:p>
        </w:tc>
        <w:tc>
          <w:tcPr>
            <w:tcW w:w="964" w:type="dxa"/>
            <w:vAlign w:val="center"/>
          </w:tcPr>
          <w:p w:rsidR="00DF167D" w:rsidRPr="00AA77C7" w:rsidRDefault="00DF167D" w:rsidP="009536F9">
            <w:pPr>
              <w:jc w:val="center"/>
              <w:rPr>
                <w:b/>
                <w:noProof/>
                <w:sz w:val="20"/>
              </w:rPr>
            </w:pPr>
            <w:r w:rsidRPr="00AA77C7">
              <w:rPr>
                <w:b/>
                <w:noProof/>
                <w:sz w:val="20"/>
              </w:rPr>
              <w:t>2027</w:t>
            </w:r>
          </w:p>
        </w:tc>
        <w:tc>
          <w:tcPr>
            <w:tcW w:w="1158" w:type="dxa"/>
            <w:vAlign w:val="center"/>
          </w:tcPr>
          <w:p w:rsidR="00DF167D" w:rsidRPr="00AA77C7" w:rsidRDefault="00DF167D" w:rsidP="009536F9">
            <w:pPr>
              <w:spacing w:before="60" w:after="60"/>
              <w:jc w:val="center"/>
              <w:rPr>
                <w:b/>
                <w:noProof/>
                <w:sz w:val="20"/>
              </w:rPr>
            </w:pPr>
            <w:r w:rsidRPr="00AA77C7">
              <w:rPr>
                <w:b/>
                <w:noProof/>
                <w:sz w:val="20"/>
              </w:rPr>
              <w:t>CELKEM</w:t>
            </w:r>
          </w:p>
        </w:tc>
      </w:tr>
      <w:tr w:rsidR="00CB55E2" w:rsidRPr="00AA77C7" w:rsidTr="009536F9">
        <w:trPr>
          <w:cantSplit/>
          <w:jc w:val="center"/>
        </w:trPr>
        <w:tc>
          <w:tcPr>
            <w:tcW w:w="2340" w:type="dxa"/>
          </w:tcPr>
          <w:p w:rsidR="004E589F" w:rsidRPr="00AA77C7" w:rsidRDefault="004E589F" w:rsidP="009536F9">
            <w:pPr>
              <w:rPr>
                <w:noProof/>
              </w:rPr>
            </w:pPr>
            <w:r w:rsidRPr="00AA77C7">
              <w:rPr>
                <w:noProof/>
                <w:sz w:val="20"/>
              </w:rPr>
              <w:t>Upřesněte spolufinancující subjekt</w:t>
            </w:r>
            <w:r w:rsidRPr="00AA77C7">
              <w:rPr>
                <w:i/>
                <w:noProof/>
                <w:sz w:val="20"/>
              </w:rPr>
              <w:t xml:space="preserve"> </w:t>
            </w:r>
          </w:p>
        </w:tc>
        <w:tc>
          <w:tcPr>
            <w:tcW w:w="964" w:type="dxa"/>
            <w:vAlign w:val="center"/>
          </w:tcPr>
          <w:p w:rsidR="004E589F" w:rsidRPr="00AA77C7" w:rsidRDefault="004E589F" w:rsidP="009536F9">
            <w:pPr>
              <w:spacing w:before="60" w:after="60"/>
              <w:jc w:val="center"/>
              <w:rPr>
                <w:noProof/>
                <w:sz w:val="20"/>
              </w:rPr>
            </w:pPr>
            <w:r w:rsidRPr="00AA77C7">
              <w:rPr>
                <w:noProof/>
                <w:sz w:val="20"/>
              </w:rPr>
              <w:t>p.m.</w:t>
            </w:r>
          </w:p>
        </w:tc>
        <w:tc>
          <w:tcPr>
            <w:tcW w:w="964" w:type="dxa"/>
            <w:vAlign w:val="center"/>
          </w:tcPr>
          <w:p w:rsidR="004E589F" w:rsidRPr="00AA77C7" w:rsidRDefault="004E589F" w:rsidP="009536F9">
            <w:pPr>
              <w:spacing w:before="60" w:after="60"/>
              <w:jc w:val="center"/>
              <w:rPr>
                <w:noProof/>
                <w:sz w:val="20"/>
              </w:rPr>
            </w:pPr>
            <w:r w:rsidRPr="00AA77C7">
              <w:rPr>
                <w:noProof/>
                <w:sz w:val="20"/>
              </w:rPr>
              <w:t>p.m.</w:t>
            </w:r>
          </w:p>
        </w:tc>
        <w:tc>
          <w:tcPr>
            <w:tcW w:w="964" w:type="dxa"/>
            <w:vAlign w:val="center"/>
          </w:tcPr>
          <w:p w:rsidR="004E589F" w:rsidRPr="00AA77C7" w:rsidRDefault="004E589F" w:rsidP="009536F9">
            <w:pPr>
              <w:spacing w:before="60" w:after="60"/>
              <w:jc w:val="center"/>
              <w:rPr>
                <w:noProof/>
                <w:sz w:val="20"/>
              </w:rPr>
            </w:pPr>
            <w:r w:rsidRPr="00AA77C7">
              <w:rPr>
                <w:noProof/>
                <w:sz w:val="20"/>
              </w:rPr>
              <w:t>p.m.</w:t>
            </w:r>
          </w:p>
        </w:tc>
        <w:tc>
          <w:tcPr>
            <w:tcW w:w="964" w:type="dxa"/>
            <w:vAlign w:val="center"/>
          </w:tcPr>
          <w:p w:rsidR="004E589F" w:rsidRPr="00AA77C7" w:rsidRDefault="004E589F" w:rsidP="009536F9">
            <w:pPr>
              <w:spacing w:before="60" w:after="60"/>
              <w:jc w:val="center"/>
              <w:rPr>
                <w:noProof/>
                <w:sz w:val="20"/>
              </w:rPr>
            </w:pPr>
            <w:r w:rsidRPr="00AA77C7">
              <w:rPr>
                <w:noProof/>
                <w:sz w:val="20"/>
              </w:rPr>
              <w:t>p.m.</w:t>
            </w:r>
          </w:p>
        </w:tc>
        <w:tc>
          <w:tcPr>
            <w:tcW w:w="964" w:type="dxa"/>
            <w:vAlign w:val="center"/>
          </w:tcPr>
          <w:p w:rsidR="004E589F" w:rsidRPr="00AA77C7" w:rsidRDefault="004E589F" w:rsidP="009536F9">
            <w:pPr>
              <w:spacing w:before="60" w:after="60"/>
              <w:jc w:val="center"/>
              <w:rPr>
                <w:noProof/>
                <w:sz w:val="20"/>
              </w:rPr>
            </w:pPr>
            <w:r w:rsidRPr="00AA77C7">
              <w:rPr>
                <w:noProof/>
                <w:sz w:val="20"/>
              </w:rPr>
              <w:t>p.m.</w:t>
            </w:r>
          </w:p>
        </w:tc>
        <w:tc>
          <w:tcPr>
            <w:tcW w:w="964" w:type="dxa"/>
            <w:vAlign w:val="center"/>
          </w:tcPr>
          <w:p w:rsidR="004E589F" w:rsidRPr="00AA77C7" w:rsidRDefault="004E589F" w:rsidP="009536F9">
            <w:pPr>
              <w:spacing w:before="60" w:after="60"/>
              <w:jc w:val="center"/>
              <w:rPr>
                <w:noProof/>
                <w:sz w:val="20"/>
              </w:rPr>
            </w:pPr>
            <w:r w:rsidRPr="00AA77C7">
              <w:rPr>
                <w:noProof/>
                <w:sz w:val="20"/>
              </w:rPr>
              <w:t>p.m.</w:t>
            </w:r>
          </w:p>
        </w:tc>
        <w:tc>
          <w:tcPr>
            <w:tcW w:w="964" w:type="dxa"/>
            <w:vAlign w:val="center"/>
          </w:tcPr>
          <w:p w:rsidR="004E589F" w:rsidRPr="00AA77C7" w:rsidRDefault="004E589F" w:rsidP="009536F9">
            <w:pPr>
              <w:spacing w:before="60" w:after="60"/>
              <w:jc w:val="center"/>
              <w:rPr>
                <w:noProof/>
                <w:sz w:val="20"/>
              </w:rPr>
            </w:pPr>
            <w:r w:rsidRPr="00AA77C7">
              <w:rPr>
                <w:noProof/>
                <w:sz w:val="20"/>
              </w:rPr>
              <w:t>p.m.</w:t>
            </w:r>
          </w:p>
        </w:tc>
        <w:tc>
          <w:tcPr>
            <w:tcW w:w="1158" w:type="dxa"/>
            <w:vAlign w:val="center"/>
          </w:tcPr>
          <w:p w:rsidR="004E589F" w:rsidRPr="00AA77C7" w:rsidRDefault="004E589F" w:rsidP="009536F9">
            <w:pPr>
              <w:spacing w:before="60" w:after="60"/>
              <w:jc w:val="center"/>
              <w:rPr>
                <w:noProof/>
                <w:sz w:val="20"/>
              </w:rPr>
            </w:pPr>
            <w:r w:rsidRPr="00AA77C7">
              <w:rPr>
                <w:noProof/>
                <w:sz w:val="20"/>
              </w:rPr>
              <w:t>p.m.</w:t>
            </w:r>
          </w:p>
        </w:tc>
      </w:tr>
      <w:tr w:rsidR="004E589F" w:rsidRPr="00AA77C7" w:rsidTr="009536F9">
        <w:trPr>
          <w:cantSplit/>
          <w:jc w:val="center"/>
        </w:trPr>
        <w:tc>
          <w:tcPr>
            <w:tcW w:w="2340" w:type="dxa"/>
          </w:tcPr>
          <w:p w:rsidR="004E589F" w:rsidRPr="00AA77C7" w:rsidRDefault="004E589F" w:rsidP="009536F9">
            <w:pPr>
              <w:spacing w:before="60" w:after="60"/>
              <w:jc w:val="left"/>
              <w:rPr>
                <w:noProof/>
                <w:sz w:val="20"/>
              </w:rPr>
            </w:pPr>
            <w:r w:rsidRPr="00AA77C7">
              <w:rPr>
                <w:noProof/>
                <w:sz w:val="20"/>
              </w:rPr>
              <w:t xml:space="preserve">Spolufinancované prostředky CELKEM </w:t>
            </w:r>
          </w:p>
        </w:tc>
        <w:tc>
          <w:tcPr>
            <w:tcW w:w="964" w:type="dxa"/>
            <w:vAlign w:val="center"/>
          </w:tcPr>
          <w:p w:rsidR="004E589F" w:rsidRPr="00AA77C7" w:rsidRDefault="004E589F" w:rsidP="009536F9">
            <w:pPr>
              <w:spacing w:before="60" w:after="60"/>
              <w:jc w:val="center"/>
              <w:rPr>
                <w:noProof/>
                <w:sz w:val="20"/>
              </w:rPr>
            </w:pPr>
            <w:r w:rsidRPr="00AA77C7">
              <w:rPr>
                <w:noProof/>
                <w:sz w:val="20"/>
              </w:rPr>
              <w:t>p.m.</w:t>
            </w:r>
          </w:p>
        </w:tc>
        <w:tc>
          <w:tcPr>
            <w:tcW w:w="964" w:type="dxa"/>
            <w:vAlign w:val="center"/>
          </w:tcPr>
          <w:p w:rsidR="004E589F" w:rsidRPr="00AA77C7" w:rsidRDefault="004E589F" w:rsidP="009536F9">
            <w:pPr>
              <w:spacing w:before="60" w:after="60"/>
              <w:jc w:val="center"/>
              <w:rPr>
                <w:noProof/>
                <w:sz w:val="20"/>
              </w:rPr>
            </w:pPr>
            <w:r w:rsidRPr="00AA77C7">
              <w:rPr>
                <w:noProof/>
                <w:sz w:val="20"/>
              </w:rPr>
              <w:t>p.m.</w:t>
            </w:r>
          </w:p>
        </w:tc>
        <w:tc>
          <w:tcPr>
            <w:tcW w:w="964" w:type="dxa"/>
            <w:vAlign w:val="center"/>
          </w:tcPr>
          <w:p w:rsidR="004E589F" w:rsidRPr="00AA77C7" w:rsidRDefault="004E589F" w:rsidP="009536F9">
            <w:pPr>
              <w:spacing w:before="60" w:after="60"/>
              <w:jc w:val="center"/>
              <w:rPr>
                <w:noProof/>
                <w:sz w:val="20"/>
              </w:rPr>
            </w:pPr>
            <w:r w:rsidRPr="00AA77C7">
              <w:rPr>
                <w:noProof/>
                <w:sz w:val="20"/>
              </w:rPr>
              <w:t>p.m.</w:t>
            </w:r>
          </w:p>
        </w:tc>
        <w:tc>
          <w:tcPr>
            <w:tcW w:w="964" w:type="dxa"/>
            <w:vAlign w:val="center"/>
          </w:tcPr>
          <w:p w:rsidR="004E589F" w:rsidRPr="00AA77C7" w:rsidRDefault="004E589F" w:rsidP="009536F9">
            <w:pPr>
              <w:spacing w:before="60" w:after="60"/>
              <w:jc w:val="center"/>
              <w:rPr>
                <w:noProof/>
                <w:sz w:val="20"/>
              </w:rPr>
            </w:pPr>
            <w:r w:rsidRPr="00AA77C7">
              <w:rPr>
                <w:noProof/>
                <w:sz w:val="20"/>
              </w:rPr>
              <w:t>p.m.</w:t>
            </w:r>
          </w:p>
        </w:tc>
        <w:tc>
          <w:tcPr>
            <w:tcW w:w="964" w:type="dxa"/>
            <w:vAlign w:val="center"/>
          </w:tcPr>
          <w:p w:rsidR="004E589F" w:rsidRPr="00AA77C7" w:rsidRDefault="004E589F" w:rsidP="009536F9">
            <w:pPr>
              <w:spacing w:before="60" w:after="60"/>
              <w:jc w:val="center"/>
              <w:rPr>
                <w:noProof/>
                <w:sz w:val="20"/>
              </w:rPr>
            </w:pPr>
            <w:r w:rsidRPr="00AA77C7">
              <w:rPr>
                <w:noProof/>
                <w:sz w:val="20"/>
              </w:rPr>
              <w:t>p.m.</w:t>
            </w:r>
          </w:p>
        </w:tc>
        <w:tc>
          <w:tcPr>
            <w:tcW w:w="964" w:type="dxa"/>
            <w:vAlign w:val="center"/>
          </w:tcPr>
          <w:p w:rsidR="004E589F" w:rsidRPr="00AA77C7" w:rsidRDefault="004E589F" w:rsidP="009536F9">
            <w:pPr>
              <w:spacing w:before="60" w:after="60"/>
              <w:jc w:val="center"/>
              <w:rPr>
                <w:noProof/>
                <w:sz w:val="20"/>
              </w:rPr>
            </w:pPr>
            <w:r w:rsidRPr="00AA77C7">
              <w:rPr>
                <w:noProof/>
                <w:sz w:val="20"/>
              </w:rPr>
              <w:t>p.m.</w:t>
            </w:r>
          </w:p>
        </w:tc>
        <w:tc>
          <w:tcPr>
            <w:tcW w:w="964" w:type="dxa"/>
            <w:vAlign w:val="center"/>
          </w:tcPr>
          <w:p w:rsidR="004E589F" w:rsidRPr="00AA77C7" w:rsidRDefault="004E589F" w:rsidP="009536F9">
            <w:pPr>
              <w:spacing w:before="60" w:after="60"/>
              <w:jc w:val="center"/>
              <w:rPr>
                <w:noProof/>
                <w:sz w:val="20"/>
              </w:rPr>
            </w:pPr>
            <w:r w:rsidRPr="00AA77C7">
              <w:rPr>
                <w:noProof/>
                <w:sz w:val="20"/>
              </w:rPr>
              <w:t>p.m.</w:t>
            </w:r>
          </w:p>
        </w:tc>
        <w:tc>
          <w:tcPr>
            <w:tcW w:w="1158" w:type="dxa"/>
            <w:vAlign w:val="center"/>
          </w:tcPr>
          <w:p w:rsidR="004E589F" w:rsidRPr="00AA77C7" w:rsidRDefault="004E589F" w:rsidP="009536F9">
            <w:pPr>
              <w:spacing w:before="60" w:after="60"/>
              <w:jc w:val="center"/>
              <w:rPr>
                <w:noProof/>
                <w:sz w:val="20"/>
              </w:rPr>
            </w:pPr>
            <w:r w:rsidRPr="00AA77C7">
              <w:rPr>
                <w:noProof/>
                <w:sz w:val="20"/>
              </w:rPr>
              <w:t>p.m.</w:t>
            </w:r>
          </w:p>
        </w:tc>
      </w:tr>
    </w:tbl>
    <w:p w:rsidR="00DF167D" w:rsidRPr="00AA77C7" w:rsidRDefault="00DF167D" w:rsidP="00DF167D">
      <w:pPr>
        <w:pStyle w:val="Nadpis2"/>
        <w:rPr>
          <w:bCs w:val="0"/>
          <w:noProof/>
          <w:szCs w:val="24"/>
        </w:rPr>
      </w:pPr>
      <w:r w:rsidRPr="00AA77C7">
        <w:t xml:space="preserve">Odhadovaný dopad na příjmy </w:t>
      </w:r>
    </w:p>
    <w:p w:rsidR="00DF167D" w:rsidRPr="00AA77C7" w:rsidRDefault="00DF167D" w:rsidP="00DF167D">
      <w:pPr>
        <w:pStyle w:val="ListDash1"/>
      </w:pPr>
      <w:r w:rsidRPr="00AA77C7">
        <w:sym w:font="Wingdings" w:char="F078"/>
      </w:r>
      <w:r w:rsidRPr="00AA77C7">
        <w:tab/>
        <w:t>Návrh/podnět nemá žádný finanční dopad na příjmy.</w:t>
      </w:r>
    </w:p>
    <w:p w:rsidR="00DF167D" w:rsidRPr="00AA77C7" w:rsidRDefault="00DF167D" w:rsidP="00DF167D">
      <w:pPr>
        <w:pStyle w:val="ListDash1"/>
      </w:pPr>
      <w:r w:rsidRPr="00AA77C7">
        <w:sym w:font="Wingdings" w:char="F0A8"/>
      </w:r>
      <w:r w:rsidRPr="00AA77C7">
        <w:tab/>
        <w:t>Návrh/podnět má tento finanční dopad:</w:t>
      </w:r>
    </w:p>
    <w:p w:rsidR="00DF167D" w:rsidRPr="00AA77C7" w:rsidRDefault="00DF167D" w:rsidP="00DF167D">
      <w:pPr>
        <w:pStyle w:val="ListNumberLevel3"/>
      </w:pPr>
      <w:r w:rsidRPr="00AA77C7">
        <w:sym w:font="Wingdings" w:char="F0A8"/>
      </w:r>
      <w:r w:rsidRPr="00AA77C7">
        <w:tab/>
        <w:t xml:space="preserve">na vlastní zdroje </w:t>
      </w:r>
    </w:p>
    <w:p w:rsidR="00DF167D" w:rsidRPr="00AA77C7" w:rsidRDefault="00DF167D" w:rsidP="00DF167D">
      <w:pPr>
        <w:pStyle w:val="ListNumberLevel3"/>
      </w:pPr>
      <w:r w:rsidRPr="00AA77C7">
        <w:sym w:font="Wingdings" w:char="F0A8"/>
      </w:r>
      <w:r w:rsidRPr="00AA77C7">
        <w:tab/>
        <w:t>na jiné příjmy</w:t>
      </w:r>
    </w:p>
    <w:p w:rsidR="00DF167D" w:rsidRPr="00AA77C7" w:rsidRDefault="00DF167D" w:rsidP="00DF167D">
      <w:pPr>
        <w:jc w:val="right"/>
        <w:rPr>
          <w:noProof/>
        </w:rPr>
      </w:pPr>
      <w:r w:rsidRPr="00AA77C7">
        <w:t xml:space="preserve">      uveďte, zda je příjem účelově vázán na výdajové položky </w:t>
      </w:r>
      <w:r w:rsidRPr="00AA77C7">
        <w:rPr>
          <w:noProof/>
        </w:rPr>
        <w:sym w:font="Wingdings" w:char="F0A8"/>
      </w:r>
      <w:r w:rsidRPr="00AA77C7">
        <w:tab/>
      </w:r>
    </w:p>
    <w:p w:rsidR="00DF167D" w:rsidRPr="00AA77C7" w:rsidRDefault="00DF167D" w:rsidP="00DF167D">
      <w:pPr>
        <w:jc w:val="right"/>
        <w:rPr>
          <w:i/>
          <w:noProof/>
          <w:sz w:val="20"/>
        </w:rPr>
      </w:pPr>
      <w:r w:rsidRPr="00AA77C7">
        <w:t>v milionech EUR (zaokrouhleno na tři desetinná místa)</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080"/>
        <w:gridCol w:w="900"/>
        <w:gridCol w:w="900"/>
        <w:gridCol w:w="1080"/>
        <w:gridCol w:w="1080"/>
        <w:gridCol w:w="1080"/>
        <w:gridCol w:w="1080"/>
      </w:tblGrid>
      <w:tr w:rsidR="00CB55E2" w:rsidRPr="00AA77C7" w:rsidTr="009536F9">
        <w:trPr>
          <w:trHeight w:val="388"/>
          <w:jc w:val="center"/>
        </w:trPr>
        <w:tc>
          <w:tcPr>
            <w:tcW w:w="2144" w:type="dxa"/>
            <w:vMerge w:val="restart"/>
            <w:vAlign w:val="center"/>
          </w:tcPr>
          <w:p w:rsidR="00DF167D" w:rsidRPr="00AA77C7" w:rsidRDefault="00DF167D" w:rsidP="009536F9">
            <w:pPr>
              <w:spacing w:before="40" w:after="40"/>
              <w:rPr>
                <w:noProof/>
                <w:sz w:val="18"/>
              </w:rPr>
            </w:pPr>
            <w:r w:rsidRPr="00AA77C7">
              <w:rPr>
                <w:noProof/>
                <w:sz w:val="18"/>
              </w:rPr>
              <w:t>Příjmová rozpočtová položka:</w:t>
            </w:r>
          </w:p>
        </w:tc>
        <w:tc>
          <w:tcPr>
            <w:tcW w:w="7200" w:type="dxa"/>
            <w:gridSpan w:val="7"/>
            <w:vAlign w:val="center"/>
          </w:tcPr>
          <w:p w:rsidR="00DF167D" w:rsidRPr="00AA77C7" w:rsidRDefault="00DF167D" w:rsidP="009536F9">
            <w:pPr>
              <w:jc w:val="center"/>
              <w:rPr>
                <w:noProof/>
                <w:sz w:val="18"/>
              </w:rPr>
            </w:pPr>
            <w:r w:rsidRPr="00AA77C7">
              <w:rPr>
                <w:noProof/>
                <w:sz w:val="18"/>
              </w:rPr>
              <w:t>Dopad návrhu/podnětu</w:t>
            </w:r>
            <w:r w:rsidRPr="00AA77C7">
              <w:rPr>
                <w:rStyle w:val="Znakapoznpodarou"/>
                <w:noProof/>
                <w:sz w:val="18"/>
              </w:rPr>
              <w:footnoteReference w:id="43"/>
            </w:r>
          </w:p>
        </w:tc>
      </w:tr>
      <w:tr w:rsidR="00CB55E2" w:rsidRPr="00AA77C7" w:rsidTr="009536F9">
        <w:trPr>
          <w:trHeight w:val="388"/>
          <w:jc w:val="center"/>
        </w:trPr>
        <w:tc>
          <w:tcPr>
            <w:tcW w:w="2144" w:type="dxa"/>
            <w:vMerge/>
          </w:tcPr>
          <w:p w:rsidR="00DF167D" w:rsidRPr="00AA77C7" w:rsidRDefault="00DF167D" w:rsidP="009536F9">
            <w:pPr>
              <w:spacing w:before="40" w:after="40"/>
              <w:rPr>
                <w:noProof/>
                <w:sz w:val="18"/>
              </w:rPr>
            </w:pPr>
          </w:p>
        </w:tc>
        <w:tc>
          <w:tcPr>
            <w:tcW w:w="1080" w:type="dxa"/>
            <w:vAlign w:val="center"/>
          </w:tcPr>
          <w:p w:rsidR="00DF167D" w:rsidRPr="00AA77C7" w:rsidRDefault="00DF167D" w:rsidP="009536F9">
            <w:pPr>
              <w:jc w:val="center"/>
              <w:rPr>
                <w:noProof/>
                <w:sz w:val="18"/>
              </w:rPr>
            </w:pPr>
            <w:r w:rsidRPr="00AA77C7">
              <w:rPr>
                <w:b/>
                <w:noProof/>
                <w:sz w:val="20"/>
              </w:rPr>
              <w:t>2021</w:t>
            </w:r>
          </w:p>
        </w:tc>
        <w:tc>
          <w:tcPr>
            <w:tcW w:w="900" w:type="dxa"/>
            <w:vAlign w:val="center"/>
          </w:tcPr>
          <w:p w:rsidR="00DF167D" w:rsidRPr="00AA77C7" w:rsidRDefault="00DF167D" w:rsidP="009536F9">
            <w:pPr>
              <w:jc w:val="center"/>
              <w:rPr>
                <w:b/>
                <w:noProof/>
                <w:sz w:val="20"/>
              </w:rPr>
            </w:pPr>
            <w:r w:rsidRPr="00AA77C7">
              <w:rPr>
                <w:b/>
                <w:noProof/>
                <w:sz w:val="20"/>
              </w:rPr>
              <w:t>2022</w:t>
            </w:r>
          </w:p>
        </w:tc>
        <w:tc>
          <w:tcPr>
            <w:tcW w:w="900" w:type="dxa"/>
            <w:vAlign w:val="center"/>
          </w:tcPr>
          <w:p w:rsidR="00DF167D" w:rsidRPr="00AA77C7" w:rsidRDefault="00DF167D" w:rsidP="009536F9">
            <w:pPr>
              <w:jc w:val="center"/>
              <w:rPr>
                <w:b/>
                <w:noProof/>
                <w:sz w:val="20"/>
              </w:rPr>
            </w:pPr>
            <w:r w:rsidRPr="00AA77C7">
              <w:rPr>
                <w:b/>
                <w:noProof/>
                <w:sz w:val="20"/>
              </w:rPr>
              <w:t>2023</w:t>
            </w:r>
          </w:p>
        </w:tc>
        <w:tc>
          <w:tcPr>
            <w:tcW w:w="1080" w:type="dxa"/>
            <w:vAlign w:val="center"/>
          </w:tcPr>
          <w:p w:rsidR="00DF167D" w:rsidRPr="00AA77C7" w:rsidRDefault="00DF167D" w:rsidP="009536F9">
            <w:pPr>
              <w:jc w:val="center"/>
              <w:rPr>
                <w:b/>
                <w:noProof/>
                <w:sz w:val="20"/>
              </w:rPr>
            </w:pPr>
            <w:r w:rsidRPr="00AA77C7">
              <w:rPr>
                <w:b/>
                <w:noProof/>
                <w:sz w:val="20"/>
              </w:rPr>
              <w:t>2024</w:t>
            </w:r>
          </w:p>
        </w:tc>
        <w:tc>
          <w:tcPr>
            <w:tcW w:w="1080" w:type="dxa"/>
            <w:vAlign w:val="center"/>
          </w:tcPr>
          <w:p w:rsidR="00DF167D" w:rsidRPr="00AA77C7" w:rsidRDefault="00DF167D" w:rsidP="009536F9">
            <w:pPr>
              <w:jc w:val="center"/>
              <w:rPr>
                <w:b/>
                <w:noProof/>
                <w:sz w:val="20"/>
              </w:rPr>
            </w:pPr>
            <w:r w:rsidRPr="00AA77C7">
              <w:rPr>
                <w:b/>
                <w:noProof/>
                <w:sz w:val="20"/>
              </w:rPr>
              <w:t>2025</w:t>
            </w:r>
          </w:p>
        </w:tc>
        <w:tc>
          <w:tcPr>
            <w:tcW w:w="1080" w:type="dxa"/>
            <w:vAlign w:val="center"/>
          </w:tcPr>
          <w:p w:rsidR="00DF167D" w:rsidRPr="00AA77C7" w:rsidRDefault="00DF167D" w:rsidP="009536F9">
            <w:pPr>
              <w:jc w:val="center"/>
              <w:rPr>
                <w:b/>
                <w:noProof/>
                <w:sz w:val="20"/>
              </w:rPr>
            </w:pPr>
            <w:r w:rsidRPr="00AA77C7">
              <w:rPr>
                <w:b/>
                <w:noProof/>
                <w:sz w:val="20"/>
              </w:rPr>
              <w:t>2026</w:t>
            </w:r>
          </w:p>
        </w:tc>
        <w:tc>
          <w:tcPr>
            <w:tcW w:w="1080" w:type="dxa"/>
            <w:vAlign w:val="center"/>
          </w:tcPr>
          <w:p w:rsidR="00DF167D" w:rsidRPr="00AA77C7" w:rsidRDefault="00DF167D" w:rsidP="009536F9">
            <w:pPr>
              <w:jc w:val="center"/>
              <w:rPr>
                <w:b/>
                <w:noProof/>
                <w:sz w:val="20"/>
              </w:rPr>
            </w:pPr>
            <w:r w:rsidRPr="00AA77C7">
              <w:rPr>
                <w:b/>
                <w:noProof/>
                <w:sz w:val="20"/>
              </w:rPr>
              <w:t>2027</w:t>
            </w:r>
          </w:p>
        </w:tc>
      </w:tr>
      <w:tr w:rsidR="00CB55E2" w:rsidRPr="00AA77C7" w:rsidTr="009536F9">
        <w:trPr>
          <w:trHeight w:val="388"/>
          <w:jc w:val="center"/>
        </w:trPr>
        <w:tc>
          <w:tcPr>
            <w:tcW w:w="2144" w:type="dxa"/>
            <w:vAlign w:val="center"/>
          </w:tcPr>
          <w:p w:rsidR="00DF167D" w:rsidRPr="00AA77C7" w:rsidRDefault="00DF167D" w:rsidP="009536F9">
            <w:pPr>
              <w:spacing w:before="40" w:after="40"/>
              <w:rPr>
                <w:noProof/>
                <w:sz w:val="18"/>
              </w:rPr>
            </w:pPr>
            <w:r w:rsidRPr="00AA77C7">
              <w:rPr>
                <w:noProof/>
                <w:sz w:val="18"/>
              </w:rPr>
              <w:t>Článek ………….</w:t>
            </w:r>
          </w:p>
        </w:tc>
        <w:tc>
          <w:tcPr>
            <w:tcW w:w="1080" w:type="dxa"/>
          </w:tcPr>
          <w:p w:rsidR="00DF167D" w:rsidRPr="00AA77C7" w:rsidRDefault="00DF167D" w:rsidP="009536F9">
            <w:pPr>
              <w:spacing w:beforeLines="40" w:before="96" w:afterLines="40" w:after="96"/>
              <w:jc w:val="center"/>
              <w:rPr>
                <w:noProof/>
                <w:sz w:val="18"/>
              </w:rPr>
            </w:pPr>
          </w:p>
        </w:tc>
        <w:tc>
          <w:tcPr>
            <w:tcW w:w="900" w:type="dxa"/>
          </w:tcPr>
          <w:p w:rsidR="00DF167D" w:rsidRPr="00AA77C7" w:rsidRDefault="00DF167D" w:rsidP="009536F9">
            <w:pPr>
              <w:spacing w:beforeLines="40" w:before="96" w:afterLines="40" w:after="96"/>
              <w:jc w:val="center"/>
              <w:rPr>
                <w:noProof/>
                <w:sz w:val="18"/>
              </w:rPr>
            </w:pPr>
          </w:p>
        </w:tc>
        <w:tc>
          <w:tcPr>
            <w:tcW w:w="900" w:type="dxa"/>
          </w:tcPr>
          <w:p w:rsidR="00DF167D" w:rsidRPr="00AA77C7" w:rsidRDefault="00DF167D" w:rsidP="009536F9">
            <w:pPr>
              <w:spacing w:beforeLines="40" w:before="96" w:afterLines="40" w:after="96"/>
              <w:jc w:val="center"/>
              <w:rPr>
                <w:noProof/>
                <w:sz w:val="18"/>
              </w:rPr>
            </w:pPr>
          </w:p>
        </w:tc>
        <w:tc>
          <w:tcPr>
            <w:tcW w:w="1080" w:type="dxa"/>
          </w:tcPr>
          <w:p w:rsidR="00DF167D" w:rsidRPr="00AA77C7" w:rsidRDefault="00DF167D" w:rsidP="009536F9">
            <w:pPr>
              <w:spacing w:beforeLines="40" w:before="96" w:afterLines="40" w:after="96"/>
              <w:jc w:val="center"/>
              <w:rPr>
                <w:noProof/>
                <w:sz w:val="18"/>
              </w:rPr>
            </w:pPr>
          </w:p>
        </w:tc>
        <w:tc>
          <w:tcPr>
            <w:tcW w:w="1080" w:type="dxa"/>
          </w:tcPr>
          <w:p w:rsidR="00DF167D" w:rsidRPr="00AA77C7" w:rsidRDefault="00DF167D" w:rsidP="009536F9">
            <w:pPr>
              <w:spacing w:beforeLines="40" w:before="96" w:afterLines="40" w:after="96"/>
              <w:jc w:val="center"/>
              <w:rPr>
                <w:noProof/>
                <w:sz w:val="18"/>
              </w:rPr>
            </w:pPr>
          </w:p>
        </w:tc>
        <w:tc>
          <w:tcPr>
            <w:tcW w:w="1080" w:type="dxa"/>
          </w:tcPr>
          <w:p w:rsidR="00DF167D" w:rsidRPr="00AA77C7" w:rsidRDefault="00DF167D" w:rsidP="009536F9">
            <w:pPr>
              <w:spacing w:beforeLines="40" w:before="96" w:afterLines="40" w:after="96"/>
              <w:jc w:val="center"/>
              <w:rPr>
                <w:noProof/>
                <w:sz w:val="18"/>
              </w:rPr>
            </w:pPr>
          </w:p>
        </w:tc>
        <w:tc>
          <w:tcPr>
            <w:tcW w:w="1080" w:type="dxa"/>
          </w:tcPr>
          <w:p w:rsidR="00DF167D" w:rsidRPr="00AA77C7" w:rsidRDefault="00DF167D" w:rsidP="009536F9">
            <w:pPr>
              <w:spacing w:beforeLines="40" w:before="96" w:afterLines="40" w:after="96"/>
              <w:jc w:val="center"/>
              <w:rPr>
                <w:noProof/>
                <w:sz w:val="18"/>
              </w:rPr>
            </w:pPr>
          </w:p>
        </w:tc>
      </w:tr>
    </w:tbl>
    <w:p w:rsidR="00DF167D" w:rsidRPr="00AA77C7" w:rsidRDefault="00DF167D" w:rsidP="00DF167D">
      <w:pPr>
        <w:pStyle w:val="Text1"/>
        <w:rPr>
          <w:sz w:val="20"/>
        </w:rPr>
      </w:pPr>
      <w:r w:rsidRPr="00AA77C7">
        <w:rPr>
          <w:sz w:val="20"/>
        </w:rPr>
        <w:t>U účelově vázaných příjmů upřesněte dotčené výdajové rozpočtové položky.</w:t>
      </w:r>
    </w:p>
    <w:p w:rsidR="00DF167D" w:rsidRPr="00AA77C7" w:rsidRDefault="00DF167D" w:rsidP="00DF167D">
      <w:pPr>
        <w:pStyle w:val="Text1"/>
      </w:pPr>
      <w:r w:rsidRPr="00AA77C7">
        <w:t>[…]</w:t>
      </w:r>
    </w:p>
    <w:p w:rsidR="00DF167D" w:rsidRPr="00AA77C7" w:rsidRDefault="00DF167D" w:rsidP="00DF167D">
      <w:pPr>
        <w:pStyle w:val="Text1"/>
        <w:rPr>
          <w:sz w:val="20"/>
        </w:rPr>
      </w:pPr>
      <w:r w:rsidRPr="00AA77C7">
        <w:rPr>
          <w:sz w:val="20"/>
        </w:rPr>
        <w:t>Jiné poznámky (např. způsob/vzorec výpočtu dopadu na příjmy nebo jiné údaje).</w:t>
      </w:r>
    </w:p>
    <w:p w:rsidR="006A5B18" w:rsidRPr="00AA77C7" w:rsidRDefault="00DF167D" w:rsidP="00290003">
      <w:pPr>
        <w:pStyle w:val="Text1"/>
      </w:pPr>
      <w:r w:rsidRPr="00AA77C7">
        <w:t>[…]</w:t>
      </w:r>
    </w:p>
    <w:sectPr w:rsidR="006A5B18" w:rsidRPr="00AA77C7" w:rsidSect="00DA02CA">
      <w:pgSz w:w="11907" w:h="16839"/>
      <w:pgMar w:top="1134" w:right="1417" w:bottom="1134" w:left="1417"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F35C68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C9C" w:rsidRDefault="009B1C9C" w:rsidP="00C5603D">
      <w:pPr>
        <w:spacing w:before="0" w:after="0"/>
      </w:pPr>
      <w:r>
        <w:separator/>
      </w:r>
    </w:p>
  </w:endnote>
  <w:endnote w:type="continuationSeparator" w:id="0">
    <w:p w:rsidR="009B1C9C" w:rsidRDefault="009B1C9C" w:rsidP="00C5603D">
      <w:pPr>
        <w:spacing w:before="0" w:after="0"/>
      </w:pPr>
      <w:r>
        <w:continuationSeparator/>
      </w:r>
    </w:p>
  </w:endnote>
  <w:endnote w:type="continuationNotice" w:id="1">
    <w:p w:rsidR="009B1C9C" w:rsidRDefault="009B1C9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EU Albertina">
    <w:altName w:val="Times New Roman"/>
    <w:panose1 w:val="00000000000000000000"/>
    <w:charset w:val="00"/>
    <w:family w:val="roman"/>
    <w:notTrueType/>
    <w:pitch w:val="default"/>
  </w:font>
  <w:font w:name="Helvetica Neue">
    <w:altName w:val="Malgun Gothic"/>
    <w:charset w:val="00"/>
    <w:family w:val="auto"/>
    <w:pitch w:val="variable"/>
    <w:sig w:usb0="00000003" w:usb1="500079DB" w:usb2="0000001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2CA" w:rsidRPr="00DA02CA" w:rsidRDefault="00DA02CA" w:rsidP="00DA02CA">
    <w:pPr>
      <w:pStyle w:val="Zpa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2CA" w:rsidRPr="00DA02CA" w:rsidRDefault="00DA02CA" w:rsidP="00DA02CA">
    <w:pPr>
      <w:pStyle w:val="Zpat"/>
      <w:rPr>
        <w:rFonts w:ascii="Arial" w:hAnsi="Arial" w:cs="Arial"/>
        <w:b/>
        <w:sz w:val="48"/>
      </w:rPr>
    </w:pPr>
    <w:r w:rsidRPr="00DA02CA">
      <w:rPr>
        <w:rFonts w:ascii="Arial" w:hAnsi="Arial" w:cs="Arial"/>
        <w:b/>
        <w:sz w:val="48"/>
      </w:rPr>
      <w:t>CS</w:t>
    </w:r>
    <w:r w:rsidRPr="00DA02CA">
      <w:rPr>
        <w:rFonts w:ascii="Arial" w:hAnsi="Arial" w:cs="Arial"/>
        <w:b/>
        <w:sz w:val="48"/>
      </w:rPr>
      <w:tab/>
    </w:r>
    <w:r>
      <w:fldChar w:fldCharType="begin"/>
    </w:r>
    <w:r>
      <w:instrText xml:space="preserve"> PAGE  \* MERGEFORMAT </w:instrText>
    </w:r>
    <w:r>
      <w:fldChar w:fldCharType="separate"/>
    </w:r>
    <w:r w:rsidR="00330CB7">
      <w:rPr>
        <w:noProof/>
      </w:rPr>
      <w:t>42</w:t>
    </w:r>
    <w:r>
      <w:fldChar w:fldCharType="end"/>
    </w:r>
    <w:r>
      <w:tab/>
    </w:r>
    <w:r w:rsidRPr="00DA02CA">
      <w:tab/>
    </w:r>
    <w:r w:rsidRPr="00DA02CA">
      <w:rPr>
        <w:rFonts w:ascii="Arial" w:hAnsi="Arial" w:cs="Arial"/>
        <w:b/>
        <w:sz w:val="48"/>
      </w:rPr>
      <w:t>CS</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2CA" w:rsidRPr="00DA02CA" w:rsidRDefault="00DA02CA" w:rsidP="00DA02C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7C7" w:rsidRPr="00DA02CA" w:rsidRDefault="00DA02CA" w:rsidP="00DA02CA">
    <w:pPr>
      <w:pStyle w:val="Zpat"/>
      <w:rPr>
        <w:rFonts w:ascii="Arial" w:hAnsi="Arial" w:cs="Arial"/>
        <w:b/>
        <w:sz w:val="48"/>
      </w:rPr>
    </w:pPr>
    <w:r w:rsidRPr="00DA02CA">
      <w:rPr>
        <w:rFonts w:ascii="Arial" w:hAnsi="Arial" w:cs="Arial"/>
        <w:b/>
        <w:sz w:val="48"/>
      </w:rPr>
      <w:t>CS</w:t>
    </w:r>
    <w:r w:rsidRPr="00DA02CA">
      <w:rPr>
        <w:rFonts w:ascii="Arial" w:hAnsi="Arial" w:cs="Arial"/>
        <w:b/>
        <w:sz w:val="48"/>
      </w:rPr>
      <w:tab/>
    </w:r>
    <w:r w:rsidRPr="00DA02CA">
      <w:rPr>
        <w:rFonts w:ascii="Arial" w:hAnsi="Arial" w:cs="Arial"/>
        <w:b/>
        <w:sz w:val="48"/>
      </w:rPr>
      <w:tab/>
    </w:r>
    <w:r w:rsidRPr="00DA02CA">
      <w:tab/>
    </w:r>
    <w:proofErr w:type="spellStart"/>
    <w:r w:rsidRPr="00DA02CA">
      <w:rPr>
        <w:rFonts w:ascii="Arial" w:hAnsi="Arial" w:cs="Arial"/>
        <w:b/>
        <w:sz w:val="48"/>
      </w:rPr>
      <w:t>CS</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2CA" w:rsidRPr="00DA02CA" w:rsidRDefault="00DA02CA" w:rsidP="00DA02CA">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2CA" w:rsidRPr="00DA02CA" w:rsidRDefault="00DA02CA" w:rsidP="00DA02CA">
    <w:pPr>
      <w:pStyle w:val="Zpat"/>
      <w:rPr>
        <w:rFonts w:ascii="Arial" w:hAnsi="Arial" w:cs="Arial"/>
        <w:b/>
        <w:sz w:val="48"/>
      </w:rPr>
    </w:pPr>
    <w:r w:rsidRPr="00DA02CA">
      <w:rPr>
        <w:rFonts w:ascii="Arial" w:hAnsi="Arial" w:cs="Arial"/>
        <w:b/>
        <w:sz w:val="48"/>
      </w:rPr>
      <w:t>CS</w:t>
    </w:r>
    <w:r w:rsidRPr="00DA02CA">
      <w:rPr>
        <w:rFonts w:ascii="Arial" w:hAnsi="Arial" w:cs="Arial"/>
        <w:b/>
        <w:sz w:val="48"/>
      </w:rPr>
      <w:tab/>
    </w:r>
    <w:r>
      <w:fldChar w:fldCharType="begin"/>
    </w:r>
    <w:r>
      <w:instrText xml:space="preserve"> PAGE  \* MERGEFORMAT </w:instrText>
    </w:r>
    <w:r>
      <w:fldChar w:fldCharType="separate"/>
    </w:r>
    <w:r w:rsidR="00330CB7">
      <w:rPr>
        <w:noProof/>
      </w:rPr>
      <w:t>1</w:t>
    </w:r>
    <w:r>
      <w:fldChar w:fldCharType="end"/>
    </w:r>
    <w:r>
      <w:tab/>
    </w:r>
    <w:r w:rsidRPr="00DA02CA">
      <w:tab/>
    </w:r>
    <w:r w:rsidRPr="00DA02CA">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2CA" w:rsidRPr="00DA02CA" w:rsidRDefault="00DA02CA" w:rsidP="00DA02CA">
    <w:pPr>
      <w:pStyle w:val="Zpa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2CA" w:rsidRPr="00DA02CA" w:rsidRDefault="00DA02CA" w:rsidP="00DA02CA">
    <w:pPr>
      <w:pStyle w:val="Zpat"/>
      <w:rPr>
        <w:rFonts w:ascii="Arial" w:hAnsi="Arial" w:cs="Arial"/>
        <w:b/>
        <w:sz w:val="48"/>
      </w:rPr>
    </w:pPr>
    <w:r w:rsidRPr="00DA02CA">
      <w:rPr>
        <w:rFonts w:ascii="Arial" w:hAnsi="Arial" w:cs="Arial"/>
        <w:b/>
        <w:sz w:val="48"/>
      </w:rPr>
      <w:t>CS</w:t>
    </w:r>
    <w:r w:rsidRPr="00DA02CA">
      <w:rPr>
        <w:rFonts w:ascii="Arial" w:hAnsi="Arial" w:cs="Arial"/>
        <w:b/>
        <w:sz w:val="48"/>
      </w:rPr>
      <w:tab/>
    </w:r>
    <w:r>
      <w:fldChar w:fldCharType="begin"/>
    </w:r>
    <w:r>
      <w:instrText xml:space="preserve"> PAGE  \* MERGEFORMAT </w:instrText>
    </w:r>
    <w:r>
      <w:fldChar w:fldCharType="separate"/>
    </w:r>
    <w:r w:rsidR="00330CB7">
      <w:rPr>
        <w:noProof/>
      </w:rPr>
      <w:t>37</w:t>
    </w:r>
    <w:r>
      <w:fldChar w:fldCharType="end"/>
    </w:r>
    <w:r>
      <w:tab/>
    </w:r>
    <w:r w:rsidRPr="00DA02CA">
      <w:tab/>
    </w:r>
    <w:r w:rsidRPr="00DA02CA">
      <w:rPr>
        <w:rFonts w:ascii="Arial" w:hAnsi="Arial" w:cs="Arial"/>
        <w:b/>
        <w:sz w:val="48"/>
      </w:rPr>
      <w:t>CS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2CA" w:rsidRPr="00DA02CA" w:rsidRDefault="00DA02CA" w:rsidP="00DA02CA">
    <w:pPr>
      <w:pStyle w:val="Zpa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2CA" w:rsidRPr="00DA02CA" w:rsidRDefault="00DA02CA" w:rsidP="00DA02CA">
    <w:pPr>
      <w:pStyle w:val="FooterLandscape"/>
      <w:rPr>
        <w:rFonts w:ascii="Arial" w:hAnsi="Arial" w:cs="Arial"/>
        <w:b/>
        <w:sz w:val="48"/>
      </w:rPr>
    </w:pPr>
    <w:r w:rsidRPr="00DA02CA">
      <w:rPr>
        <w:rFonts w:ascii="Arial" w:hAnsi="Arial" w:cs="Arial"/>
        <w:b/>
        <w:sz w:val="48"/>
      </w:rPr>
      <w:t>CS</w:t>
    </w:r>
    <w:r w:rsidRPr="00DA02CA">
      <w:rPr>
        <w:rFonts w:ascii="Arial" w:hAnsi="Arial" w:cs="Arial"/>
        <w:b/>
        <w:sz w:val="48"/>
      </w:rPr>
      <w:tab/>
    </w:r>
    <w:r>
      <w:fldChar w:fldCharType="begin"/>
    </w:r>
    <w:r>
      <w:instrText xml:space="preserve"> PAGE  \* MERGEFORMAT </w:instrText>
    </w:r>
    <w:r>
      <w:fldChar w:fldCharType="separate"/>
    </w:r>
    <w:r w:rsidR="00330CB7">
      <w:rPr>
        <w:noProof/>
      </w:rPr>
      <w:t>39</w:t>
    </w:r>
    <w:r>
      <w:fldChar w:fldCharType="end"/>
    </w:r>
    <w:r>
      <w:tab/>
    </w:r>
    <w:r w:rsidRPr="00DA02CA">
      <w:tab/>
    </w:r>
    <w:r w:rsidRPr="00DA02CA">
      <w:rPr>
        <w:rFonts w:ascii="Arial" w:hAnsi="Arial" w:cs="Arial"/>
        <w:b/>
        <w:sz w:val="48"/>
      </w:rPr>
      <w:t>CS</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2CA" w:rsidRPr="00DA02CA" w:rsidRDefault="00DA02CA" w:rsidP="00DA02CA">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C9C" w:rsidRDefault="009B1C9C" w:rsidP="00C5603D">
      <w:pPr>
        <w:spacing w:before="0" w:after="0"/>
      </w:pPr>
      <w:r>
        <w:separator/>
      </w:r>
    </w:p>
  </w:footnote>
  <w:footnote w:type="continuationSeparator" w:id="0">
    <w:p w:rsidR="009B1C9C" w:rsidRDefault="009B1C9C" w:rsidP="00C5603D">
      <w:pPr>
        <w:spacing w:before="0" w:after="0"/>
      </w:pPr>
      <w:r>
        <w:continuationSeparator/>
      </w:r>
    </w:p>
  </w:footnote>
  <w:footnote w:type="continuationNotice" w:id="1">
    <w:p w:rsidR="009B1C9C" w:rsidRDefault="009B1C9C">
      <w:pPr>
        <w:spacing w:before="0" w:after="0"/>
      </w:pPr>
    </w:p>
  </w:footnote>
  <w:footnote w:id="2">
    <w:p w:rsidR="009B1C9C" w:rsidRPr="00CB55E2" w:rsidRDefault="009B1C9C" w:rsidP="00BE57CE">
      <w:pPr>
        <w:pStyle w:val="Textpoznpodarou"/>
      </w:pPr>
      <w:r>
        <w:rPr>
          <w:rStyle w:val="Znakapoznpodarou"/>
        </w:rPr>
        <w:footnoteRef/>
      </w:r>
      <w:r>
        <w:tab/>
      </w:r>
      <w:hyperlink r:id="rId1">
        <w:r>
          <w:rPr>
            <w:rStyle w:val="Hypertextovodkaz"/>
            <w:color w:val="auto"/>
          </w:rPr>
          <w:t>Římské prohlášení, březen 2017.</w:t>
        </w:r>
      </w:hyperlink>
    </w:p>
  </w:footnote>
  <w:footnote w:id="3">
    <w:p w:rsidR="009B1C9C" w:rsidRPr="00CB55E2" w:rsidRDefault="009B1C9C" w:rsidP="005B3D95">
      <w:pPr>
        <w:pStyle w:val="Textpoznpodarou"/>
      </w:pPr>
      <w:r>
        <w:rPr>
          <w:rStyle w:val="Znakapoznpodarou"/>
        </w:rPr>
        <w:footnoteRef/>
      </w:r>
      <w:r>
        <w:tab/>
        <w:t xml:space="preserve">ERKD 2018: </w:t>
      </w:r>
      <w:hyperlink r:id="rId2">
        <w:r>
          <w:rPr>
            <w:rStyle w:val="Hypertextovodkaz"/>
            <w:color w:val="auto"/>
          </w:rPr>
          <w:t>https://europa.eu/cultural-heritage/european-year-cultural-heritage_cs</w:t>
        </w:r>
      </w:hyperlink>
      <w:r>
        <w:t xml:space="preserve"> </w:t>
      </w:r>
    </w:p>
  </w:footnote>
  <w:footnote w:id="4">
    <w:p w:rsidR="009B1C9C" w:rsidRPr="00CB55E2" w:rsidRDefault="009B1C9C" w:rsidP="005B3D95">
      <w:pPr>
        <w:pStyle w:val="Textpoznpodarou"/>
        <w:rPr>
          <w:lang w:val="pt-PT"/>
        </w:rPr>
      </w:pPr>
      <w:r>
        <w:rPr>
          <w:rStyle w:val="Znakapoznpodarou"/>
        </w:rPr>
        <w:footnoteRef/>
      </w:r>
      <w:r>
        <w:tab/>
      </w:r>
      <w:hyperlink r:id="rId3">
        <w:proofErr w:type="gramStart"/>
        <w:r>
          <w:rPr>
            <w:rStyle w:val="Hypertextovodkaz"/>
            <w:color w:val="auto"/>
          </w:rPr>
          <w:t>COM(2017</w:t>
        </w:r>
        <w:proofErr w:type="gramEnd"/>
        <w:r>
          <w:rPr>
            <w:rStyle w:val="Hypertextovodkaz"/>
            <w:color w:val="auto"/>
          </w:rPr>
          <w:t xml:space="preserve">) 673 </w:t>
        </w:r>
        <w:proofErr w:type="spellStart"/>
        <w:r>
          <w:rPr>
            <w:rStyle w:val="Hypertextovodkaz"/>
            <w:color w:val="auto"/>
          </w:rPr>
          <w:t>final</w:t>
        </w:r>
        <w:proofErr w:type="spellEnd"/>
        <w:r>
          <w:rPr>
            <w:rStyle w:val="Hypertextovodkaz"/>
            <w:color w:val="auto"/>
          </w:rPr>
          <w:t>.</w:t>
        </w:r>
      </w:hyperlink>
    </w:p>
  </w:footnote>
  <w:footnote w:id="5">
    <w:p w:rsidR="009B1C9C" w:rsidRPr="00CB55E2" w:rsidRDefault="009B1C9C" w:rsidP="00BE57CE">
      <w:pPr>
        <w:pStyle w:val="Textpoznpodarou"/>
        <w:rPr>
          <w:lang w:val="pt-PT"/>
        </w:rPr>
      </w:pPr>
      <w:r>
        <w:rPr>
          <w:rStyle w:val="Znakapoznpodarou"/>
        </w:rPr>
        <w:footnoteRef/>
      </w:r>
      <w:r>
        <w:tab/>
      </w:r>
      <w:proofErr w:type="gramStart"/>
      <w:r>
        <w:t>COM(2018</w:t>
      </w:r>
      <w:proofErr w:type="gramEnd"/>
      <w:r>
        <w:t xml:space="preserve">) 267 </w:t>
      </w:r>
      <w:proofErr w:type="spellStart"/>
      <w:r>
        <w:t>final</w:t>
      </w:r>
      <w:proofErr w:type="spellEnd"/>
      <w:r>
        <w:t>.</w:t>
      </w:r>
    </w:p>
  </w:footnote>
  <w:footnote w:id="6">
    <w:p w:rsidR="009B1C9C" w:rsidRPr="00CB55E2" w:rsidRDefault="009B1C9C" w:rsidP="005B3D95">
      <w:pPr>
        <w:pStyle w:val="Textpoznpodarou"/>
        <w:rPr>
          <w:lang w:val="pt-PT"/>
        </w:rPr>
      </w:pPr>
      <w:r>
        <w:rPr>
          <w:rStyle w:val="Znakapoznpodarou"/>
        </w:rPr>
        <w:footnoteRef/>
      </w:r>
      <w:r>
        <w:tab/>
      </w:r>
      <w:hyperlink r:id="rId4">
        <w:r>
          <w:rPr>
            <w:rStyle w:val="Hypertextovodkaz"/>
            <w:color w:val="auto"/>
          </w:rPr>
          <w:t>JOIN/2016/029.</w:t>
        </w:r>
      </w:hyperlink>
    </w:p>
  </w:footnote>
  <w:footnote w:id="7">
    <w:p w:rsidR="009B1C9C" w:rsidRPr="00F37314" w:rsidRDefault="009B1C9C" w:rsidP="00BE57CE">
      <w:pPr>
        <w:pStyle w:val="Textpoznpodarou"/>
      </w:pPr>
      <w:r>
        <w:rPr>
          <w:rStyle w:val="Znakapoznpodarou"/>
        </w:rPr>
        <w:footnoteRef/>
      </w:r>
      <w:r>
        <w:tab/>
      </w:r>
      <w:hyperlink r:id="rId5">
        <w:r>
          <w:rPr>
            <w:rStyle w:val="Hypertextovodkaz"/>
            <w:color w:val="auto"/>
          </w:rPr>
          <w:t xml:space="preserve">COM/2014/0477 </w:t>
        </w:r>
        <w:proofErr w:type="spellStart"/>
        <w:r>
          <w:rPr>
            <w:rStyle w:val="Hypertextovodkaz"/>
            <w:color w:val="auto"/>
          </w:rPr>
          <w:t>final</w:t>
        </w:r>
        <w:proofErr w:type="spellEnd"/>
        <w:r>
          <w:rPr>
            <w:rStyle w:val="Hypertextovodkaz"/>
            <w:color w:val="auto"/>
          </w:rPr>
          <w:t>.</w:t>
        </w:r>
      </w:hyperlink>
    </w:p>
  </w:footnote>
  <w:footnote w:id="8">
    <w:p w:rsidR="009B1C9C" w:rsidRPr="00F37314" w:rsidRDefault="009B1C9C">
      <w:pPr>
        <w:pStyle w:val="Textpoznpodarou"/>
      </w:pPr>
      <w:r>
        <w:rPr>
          <w:rStyle w:val="Znakapoznpodarou"/>
        </w:rPr>
        <w:footnoteRef/>
      </w:r>
      <w:r>
        <w:tab/>
      </w:r>
      <w:hyperlink r:id="rId6">
        <w:proofErr w:type="gramStart"/>
        <w:r>
          <w:rPr>
            <w:rStyle w:val="Hypertextovodkaz"/>
            <w:color w:val="auto"/>
          </w:rPr>
          <w:t>COM(2018</w:t>
        </w:r>
        <w:proofErr w:type="gramEnd"/>
        <w:r>
          <w:rPr>
            <w:rStyle w:val="Hypertextovodkaz"/>
            <w:color w:val="auto"/>
          </w:rPr>
          <w:t xml:space="preserve">) 236 </w:t>
        </w:r>
        <w:proofErr w:type="spellStart"/>
        <w:r>
          <w:rPr>
            <w:rStyle w:val="Hypertextovodkaz"/>
            <w:color w:val="auto"/>
          </w:rPr>
          <w:t>final</w:t>
        </w:r>
        <w:proofErr w:type="spellEnd"/>
        <w:r>
          <w:rPr>
            <w:rStyle w:val="Hypertextovodkaz"/>
            <w:color w:val="auto"/>
          </w:rPr>
          <w:t>.</w:t>
        </w:r>
      </w:hyperlink>
      <w:r>
        <w:rPr>
          <w:rStyle w:val="Hypertextovodkaz"/>
          <w:color w:val="auto"/>
        </w:rPr>
        <w:t> </w:t>
      </w:r>
    </w:p>
  </w:footnote>
  <w:footnote w:id="9">
    <w:p w:rsidR="009B1C9C" w:rsidRPr="00F37314" w:rsidRDefault="009B1C9C">
      <w:pPr>
        <w:pStyle w:val="Textpoznpodarou"/>
      </w:pPr>
      <w:r>
        <w:rPr>
          <w:rStyle w:val="Znakapoznpodarou"/>
        </w:rPr>
        <w:footnoteRef/>
      </w:r>
      <w:r>
        <w:tab/>
      </w:r>
      <w:hyperlink r:id="rId7">
        <w:proofErr w:type="gramStart"/>
        <w:r>
          <w:rPr>
            <w:rStyle w:val="Hypertextovodkaz"/>
            <w:color w:val="auto"/>
          </w:rPr>
          <w:t>COM(2017</w:t>
        </w:r>
        <w:proofErr w:type="gramEnd"/>
        <w:r>
          <w:rPr>
            <w:rStyle w:val="Hypertextovodkaz"/>
            <w:color w:val="auto"/>
          </w:rPr>
          <w:t xml:space="preserve">) 479 </w:t>
        </w:r>
        <w:proofErr w:type="spellStart"/>
        <w:r>
          <w:rPr>
            <w:rStyle w:val="Hypertextovodkaz"/>
            <w:color w:val="auto"/>
          </w:rPr>
          <w:t>final</w:t>
        </w:r>
        <w:proofErr w:type="spellEnd"/>
        <w:r>
          <w:rPr>
            <w:rStyle w:val="Hypertextovodkaz"/>
            <w:color w:val="auto"/>
          </w:rPr>
          <w:t>.</w:t>
        </w:r>
      </w:hyperlink>
    </w:p>
  </w:footnote>
  <w:footnote w:id="10">
    <w:p w:rsidR="009B1C9C" w:rsidRPr="00CB55E2" w:rsidRDefault="009B1C9C">
      <w:pPr>
        <w:pStyle w:val="Textpoznpodarou"/>
      </w:pPr>
      <w:r>
        <w:rPr>
          <w:rStyle w:val="Znakapoznpodarou"/>
        </w:rPr>
        <w:footnoteRef/>
      </w:r>
      <w:r>
        <w:tab/>
        <w:t>Z celé Evropy bylo obdrženo 1 839 odpovědí.</w:t>
      </w:r>
    </w:p>
  </w:footnote>
  <w:footnote w:id="11">
    <w:p w:rsidR="009B1C9C" w:rsidRPr="00CB55E2" w:rsidRDefault="009B1C9C">
      <w:pPr>
        <w:pStyle w:val="Textpoznpodarou"/>
      </w:pPr>
      <w:r>
        <w:rPr>
          <w:rStyle w:val="Znakapoznpodarou"/>
        </w:rPr>
        <w:footnoteRef/>
      </w:r>
      <w:r>
        <w:tab/>
        <w:t>https://ec.europa.eu/digital-single-market/en/european-film-forum</w:t>
      </w:r>
    </w:p>
  </w:footnote>
  <w:footnote w:id="12">
    <w:p w:rsidR="009B1C9C" w:rsidRPr="00CB55E2" w:rsidRDefault="009B1C9C" w:rsidP="009B5080">
      <w:pPr>
        <w:pStyle w:val="Textpoznpodarou"/>
      </w:pPr>
      <w:r>
        <w:rPr>
          <w:rStyle w:val="Znakapoznpodarou"/>
        </w:rPr>
        <w:footnoteRef/>
      </w:r>
      <w:r>
        <w:tab/>
        <w:t>Interinstitucionální dohoda mezi Evropským parlamentem, Radou Evropské unie a Evropskou komisí ze dne 13. dubna 2016 o zdokonalení tvorby právních předpisů (</w:t>
      </w:r>
      <w:proofErr w:type="spellStart"/>
      <w:r>
        <w:t>Úř</w:t>
      </w:r>
      <w:proofErr w:type="spellEnd"/>
      <w:r>
        <w:t xml:space="preserve">. </w:t>
      </w:r>
      <w:proofErr w:type="spellStart"/>
      <w:proofErr w:type="gramStart"/>
      <w:r>
        <w:t>věst</w:t>
      </w:r>
      <w:proofErr w:type="spellEnd"/>
      <w:proofErr w:type="gramEnd"/>
      <w:r>
        <w:t xml:space="preserve">. L 123, </w:t>
      </w:r>
      <w:proofErr w:type="gramStart"/>
      <w:r>
        <w:t>12.5.2016</w:t>
      </w:r>
      <w:proofErr w:type="gramEnd"/>
      <w:r>
        <w:t>, s. 1).</w:t>
      </w:r>
    </w:p>
  </w:footnote>
  <w:footnote w:id="13">
    <w:p w:rsidR="009B1C9C" w:rsidRPr="00B4307B" w:rsidRDefault="009B1C9C" w:rsidP="00EB63B5">
      <w:pPr>
        <w:pStyle w:val="Textpoznpodarou"/>
        <w:ind w:left="0" w:firstLine="0"/>
        <w:rPr>
          <w:lang w:val="pt-PT"/>
        </w:rPr>
      </w:pPr>
      <w:r>
        <w:rPr>
          <w:rStyle w:val="Znakapoznpodarou"/>
        </w:rPr>
        <w:footnoteRef/>
      </w:r>
      <w:r>
        <w:tab/>
      </w:r>
      <w:proofErr w:type="gramStart"/>
      <w:r>
        <w:t>COM(2018</w:t>
      </w:r>
      <w:proofErr w:type="gramEnd"/>
      <w:r>
        <w:t xml:space="preserve">) 248 </w:t>
      </w:r>
      <w:proofErr w:type="spellStart"/>
      <w:r>
        <w:t>final</w:t>
      </w:r>
      <w:proofErr w:type="spellEnd"/>
      <w:r>
        <w:t>.</w:t>
      </w:r>
    </w:p>
  </w:footnote>
  <w:footnote w:id="14">
    <w:p w:rsidR="009B1C9C" w:rsidRPr="00CB55E2" w:rsidRDefault="009B1C9C" w:rsidP="008F26E4">
      <w:pPr>
        <w:pStyle w:val="Textpoznpodarou"/>
        <w:rPr>
          <w:lang w:val="pt-PT"/>
        </w:rPr>
      </w:pPr>
      <w:r>
        <w:rPr>
          <w:rStyle w:val="Znakapoznpodarou"/>
        </w:rPr>
        <w:footnoteRef/>
      </w:r>
      <w:r>
        <w:tab/>
      </w:r>
      <w:proofErr w:type="spellStart"/>
      <w:r>
        <w:t>Úř</w:t>
      </w:r>
      <w:proofErr w:type="spellEnd"/>
      <w:r>
        <w:t xml:space="preserve">. </w:t>
      </w:r>
      <w:proofErr w:type="spellStart"/>
      <w:proofErr w:type="gramStart"/>
      <w:r>
        <w:t>věst</w:t>
      </w:r>
      <w:proofErr w:type="spellEnd"/>
      <w:proofErr w:type="gramEnd"/>
      <w:r>
        <w:t>. C […], […], s. […].</w:t>
      </w:r>
    </w:p>
  </w:footnote>
  <w:footnote w:id="15">
    <w:p w:rsidR="009B1C9C" w:rsidRPr="00CB55E2" w:rsidRDefault="009B1C9C" w:rsidP="008F26E4">
      <w:pPr>
        <w:pStyle w:val="Textpoznpodarou"/>
        <w:rPr>
          <w:lang w:val="pt-PT"/>
        </w:rPr>
      </w:pPr>
      <w:r>
        <w:rPr>
          <w:rStyle w:val="Znakapoznpodarou"/>
        </w:rPr>
        <w:footnoteRef/>
      </w:r>
      <w:r>
        <w:tab/>
      </w:r>
      <w:proofErr w:type="spellStart"/>
      <w:r>
        <w:t>Úř</w:t>
      </w:r>
      <w:proofErr w:type="spellEnd"/>
      <w:r>
        <w:t xml:space="preserve">. </w:t>
      </w:r>
      <w:proofErr w:type="spellStart"/>
      <w:proofErr w:type="gramStart"/>
      <w:r>
        <w:t>věst</w:t>
      </w:r>
      <w:proofErr w:type="spellEnd"/>
      <w:proofErr w:type="gramEnd"/>
      <w:r>
        <w:t>. C […], […], s. […].</w:t>
      </w:r>
    </w:p>
  </w:footnote>
  <w:footnote w:id="16">
    <w:p w:rsidR="009B1C9C" w:rsidRPr="00710638" w:rsidRDefault="009B1C9C">
      <w:pPr>
        <w:pStyle w:val="Textpoznpodarou"/>
        <w:rPr>
          <w:lang w:val="pt-BR"/>
        </w:rPr>
      </w:pPr>
      <w:r>
        <w:rPr>
          <w:rStyle w:val="Znakapoznpodarou"/>
        </w:rPr>
        <w:footnoteRef/>
      </w:r>
      <w:r>
        <w:tab/>
      </w:r>
      <w:proofErr w:type="gramStart"/>
      <w:r>
        <w:t>COM(2018</w:t>
      </w:r>
      <w:proofErr w:type="gramEnd"/>
      <w:r>
        <w:t xml:space="preserve">) 267 </w:t>
      </w:r>
      <w:proofErr w:type="spellStart"/>
      <w:r>
        <w:t>final</w:t>
      </w:r>
      <w:proofErr w:type="spellEnd"/>
      <w:r>
        <w:t xml:space="preserve">. </w:t>
      </w:r>
    </w:p>
  </w:footnote>
  <w:footnote w:id="17">
    <w:p w:rsidR="009B1C9C" w:rsidRPr="00B4307B" w:rsidRDefault="009B1C9C" w:rsidP="004C002A">
      <w:pPr>
        <w:pStyle w:val="Textpoznpodarou"/>
        <w:rPr>
          <w:lang w:val="pt-PT"/>
        </w:rPr>
      </w:pPr>
      <w:r>
        <w:rPr>
          <w:rStyle w:val="Znakapoznpodarou"/>
        </w:rPr>
        <w:footnoteRef/>
      </w:r>
      <w:r>
        <w:tab/>
      </w:r>
      <w:hyperlink r:id="rId8">
        <w:proofErr w:type="gramStart"/>
        <w:r>
          <w:rPr>
            <w:rStyle w:val="Hypertextovodkaz"/>
            <w:color w:val="auto"/>
          </w:rPr>
          <w:t>COM(2016</w:t>
        </w:r>
        <w:proofErr w:type="gramEnd"/>
        <w:r>
          <w:rPr>
            <w:rStyle w:val="Hypertextovodkaz"/>
            <w:color w:val="auto"/>
          </w:rPr>
          <w:t xml:space="preserve">) 594 </w:t>
        </w:r>
        <w:proofErr w:type="spellStart"/>
        <w:r>
          <w:rPr>
            <w:rStyle w:val="Hypertextovodkaz"/>
            <w:color w:val="auto"/>
          </w:rPr>
          <w:t>final</w:t>
        </w:r>
        <w:proofErr w:type="spellEnd"/>
        <w:r>
          <w:rPr>
            <w:rStyle w:val="Hypertextovodkaz"/>
            <w:color w:val="auto"/>
          </w:rPr>
          <w:t>.</w:t>
        </w:r>
      </w:hyperlink>
    </w:p>
  </w:footnote>
  <w:footnote w:id="18">
    <w:p w:rsidR="009B1C9C" w:rsidRPr="00B4307B" w:rsidRDefault="009B1C9C" w:rsidP="0032613E">
      <w:pPr>
        <w:pStyle w:val="Textpoznpodarou"/>
        <w:rPr>
          <w:lang w:val="pt-PT"/>
        </w:rPr>
      </w:pPr>
      <w:r>
        <w:rPr>
          <w:rStyle w:val="Znakapoznpodarou"/>
        </w:rPr>
        <w:footnoteRef/>
      </w:r>
      <w:r>
        <w:tab/>
      </w:r>
      <w:hyperlink r:id="rId9">
        <w:r>
          <w:rPr>
            <w:rStyle w:val="Hypertextovodkaz"/>
            <w:color w:val="auto"/>
          </w:rPr>
          <w:t xml:space="preserve">COM/2016/0287 </w:t>
        </w:r>
        <w:proofErr w:type="spellStart"/>
        <w:r>
          <w:rPr>
            <w:rStyle w:val="Hypertextovodkaz"/>
            <w:color w:val="auto"/>
          </w:rPr>
          <w:t>final</w:t>
        </w:r>
        <w:proofErr w:type="spellEnd"/>
        <w:r>
          <w:rPr>
            <w:rStyle w:val="Hypertextovodkaz"/>
            <w:color w:val="auto"/>
          </w:rPr>
          <w:t>.</w:t>
        </w:r>
      </w:hyperlink>
    </w:p>
  </w:footnote>
  <w:footnote w:id="19">
    <w:p w:rsidR="009B1C9C" w:rsidRPr="00B4307B" w:rsidRDefault="009B1C9C" w:rsidP="00264C08">
      <w:pPr>
        <w:pStyle w:val="Textpoznpodarou"/>
        <w:rPr>
          <w:lang w:val="pt-PT"/>
        </w:rPr>
      </w:pPr>
      <w:r>
        <w:rPr>
          <w:rStyle w:val="Znakapoznpodarou"/>
        </w:rPr>
        <w:footnoteRef/>
      </w:r>
      <w:r>
        <w:tab/>
      </w:r>
      <w:hyperlink r:id="rId10">
        <w:r>
          <w:rPr>
            <w:rStyle w:val="Hypertextovodkaz"/>
            <w:color w:val="auto"/>
          </w:rPr>
          <w:t>JOIN/2016/029.</w:t>
        </w:r>
      </w:hyperlink>
    </w:p>
  </w:footnote>
  <w:footnote w:id="20">
    <w:p w:rsidR="009B1C9C" w:rsidRPr="00CB55E2" w:rsidRDefault="009B1C9C" w:rsidP="002746C5">
      <w:pPr>
        <w:pStyle w:val="Textpoznpodarou"/>
      </w:pPr>
      <w:r>
        <w:rPr>
          <w:rStyle w:val="Znakapoznpodarou"/>
        </w:rPr>
        <w:footnoteRef/>
      </w:r>
      <w:r>
        <w:tab/>
      </w:r>
      <w:hyperlink r:id="rId11">
        <w:r>
          <w:rPr>
            <w:rStyle w:val="Hypertextovodkaz"/>
            <w:color w:val="auto"/>
          </w:rPr>
          <w:t xml:space="preserve">COM/2014/0477 </w:t>
        </w:r>
        <w:proofErr w:type="spellStart"/>
        <w:r>
          <w:rPr>
            <w:rStyle w:val="Hypertextovodkaz"/>
            <w:color w:val="auto"/>
          </w:rPr>
          <w:t>final</w:t>
        </w:r>
        <w:proofErr w:type="spellEnd"/>
        <w:r>
          <w:rPr>
            <w:rStyle w:val="Hypertextovodkaz"/>
            <w:color w:val="auto"/>
          </w:rPr>
          <w:t>.</w:t>
        </w:r>
      </w:hyperlink>
    </w:p>
  </w:footnote>
  <w:footnote w:id="21">
    <w:p w:rsidR="009B1C9C" w:rsidRPr="00CB55E2" w:rsidRDefault="009B1C9C">
      <w:pPr>
        <w:pStyle w:val="Textpoznpodarou"/>
      </w:pPr>
      <w:r>
        <w:rPr>
          <w:rStyle w:val="Znakapoznpodarou"/>
        </w:rPr>
        <w:footnoteRef/>
      </w:r>
      <w:r>
        <w:tab/>
      </w:r>
      <w:hyperlink r:id="rId12">
        <w:proofErr w:type="gramStart"/>
        <w:r>
          <w:rPr>
            <w:rStyle w:val="Hypertextovodkaz"/>
          </w:rPr>
          <w:t>COM(2017</w:t>
        </w:r>
        <w:proofErr w:type="gramEnd"/>
        <w:r>
          <w:rPr>
            <w:rStyle w:val="Hypertextovodkaz"/>
          </w:rPr>
          <w:t xml:space="preserve">) 479 </w:t>
        </w:r>
        <w:proofErr w:type="spellStart"/>
        <w:r>
          <w:rPr>
            <w:rStyle w:val="Hypertextovodkaz"/>
          </w:rPr>
          <w:t>final</w:t>
        </w:r>
        <w:proofErr w:type="spellEnd"/>
        <w:r>
          <w:rPr>
            <w:rStyle w:val="Hypertextovodkaz"/>
          </w:rPr>
          <w:t>.</w:t>
        </w:r>
      </w:hyperlink>
    </w:p>
  </w:footnote>
  <w:footnote w:id="22">
    <w:p w:rsidR="009B1C9C" w:rsidRPr="00CB55E2" w:rsidRDefault="009B1C9C">
      <w:pPr>
        <w:pStyle w:val="Textpoznpodarou"/>
      </w:pPr>
      <w:r>
        <w:rPr>
          <w:rStyle w:val="Znakapoznpodarou"/>
        </w:rPr>
        <w:footnoteRef/>
      </w:r>
      <w:r>
        <w:tab/>
        <w:t>Agenda pro udržitelný rozvoj 2030, přijatá Organizací spojených národů v září 2015, A/RES/70/1.</w:t>
      </w:r>
    </w:p>
  </w:footnote>
  <w:footnote w:id="23">
    <w:p w:rsidR="009B1C9C" w:rsidRPr="00B2414F" w:rsidRDefault="009B1C9C" w:rsidP="00D9628B">
      <w:pPr>
        <w:pStyle w:val="Textpoznpodarou"/>
      </w:pPr>
      <w:r>
        <w:rPr>
          <w:rStyle w:val="Znakapoznpodarou"/>
        </w:rPr>
        <w:footnoteRef/>
      </w:r>
      <w:r>
        <w:tab/>
      </w:r>
      <w:proofErr w:type="spellStart"/>
      <w:r>
        <w:t>Úř</w:t>
      </w:r>
      <w:proofErr w:type="spellEnd"/>
      <w:r>
        <w:t xml:space="preserve">. </w:t>
      </w:r>
      <w:proofErr w:type="spellStart"/>
      <w:proofErr w:type="gramStart"/>
      <w:r>
        <w:t>věst</w:t>
      </w:r>
      <w:proofErr w:type="spellEnd"/>
      <w:proofErr w:type="gramEnd"/>
      <w:r>
        <w:t xml:space="preserve">. C 373, </w:t>
      </w:r>
      <w:proofErr w:type="gramStart"/>
      <w:r>
        <w:t>20.12.2013</w:t>
      </w:r>
      <w:proofErr w:type="gramEnd"/>
      <w:r>
        <w:t>, s. 1.</w:t>
      </w:r>
    </w:p>
  </w:footnote>
  <w:footnote w:id="24">
    <w:p w:rsidR="009B1C9C" w:rsidRPr="00CB55E2" w:rsidRDefault="009B1C9C" w:rsidP="00805AB2">
      <w:pPr>
        <w:pStyle w:val="Textpoznpodarou"/>
        <w:rPr>
          <w:lang w:val="lv-LV"/>
        </w:rPr>
      </w:pPr>
      <w:r>
        <w:rPr>
          <w:rStyle w:val="Znakapoznpodarou"/>
        </w:rPr>
        <w:footnoteRef/>
      </w:r>
      <w:r>
        <w:tab/>
        <w:t>Nařízení Evropského parlamentu a Rady (EU, Euratom) č. 883/2013 ze dne 11. září 2013 o vyšetřování prováděném Evropským úřadem pro boj proti podvodům (OLAF) a o zrušení nařízení Evropského parlamentu a Rady (ES) č. 1073/1999 a nařízení Rady (Euratom) č. 1074/1999 (</w:t>
      </w:r>
      <w:proofErr w:type="spellStart"/>
      <w:r>
        <w:t>Úř</w:t>
      </w:r>
      <w:proofErr w:type="spellEnd"/>
      <w:r>
        <w:t xml:space="preserve">. </w:t>
      </w:r>
      <w:proofErr w:type="spellStart"/>
      <w:proofErr w:type="gramStart"/>
      <w:r>
        <w:t>věst</w:t>
      </w:r>
      <w:proofErr w:type="spellEnd"/>
      <w:proofErr w:type="gramEnd"/>
      <w:r>
        <w:t xml:space="preserve">. L 248, </w:t>
      </w:r>
      <w:proofErr w:type="gramStart"/>
      <w:r>
        <w:t>18.9.2013</w:t>
      </w:r>
      <w:proofErr w:type="gramEnd"/>
      <w:r>
        <w:t>, s. 1).</w:t>
      </w:r>
    </w:p>
  </w:footnote>
  <w:footnote w:id="25">
    <w:p w:rsidR="009B1C9C" w:rsidRPr="00CB55E2" w:rsidRDefault="009B1C9C">
      <w:pPr>
        <w:pStyle w:val="Textpoznpodarou"/>
      </w:pPr>
      <w:r>
        <w:rPr>
          <w:rStyle w:val="Znakapoznpodarou"/>
        </w:rPr>
        <w:footnoteRef/>
      </w:r>
      <w:r>
        <w:tab/>
        <w:t>Nařízení Rady (ES, Euratom) č. 2988/95 ze dne 18. prosince 1995 o ochraně finančních zájmů Evropských společenství (</w:t>
      </w:r>
      <w:proofErr w:type="spellStart"/>
      <w:r>
        <w:t>Úř</w:t>
      </w:r>
      <w:proofErr w:type="spellEnd"/>
      <w:r>
        <w:t xml:space="preserve">. </w:t>
      </w:r>
      <w:proofErr w:type="spellStart"/>
      <w:proofErr w:type="gramStart"/>
      <w:r>
        <w:t>věst</w:t>
      </w:r>
      <w:proofErr w:type="spellEnd"/>
      <w:proofErr w:type="gramEnd"/>
      <w:r>
        <w:t xml:space="preserve">. L 312, </w:t>
      </w:r>
      <w:proofErr w:type="gramStart"/>
      <w:r>
        <w:t>23.12.1995</w:t>
      </w:r>
      <w:proofErr w:type="gramEnd"/>
      <w:r>
        <w:t>, s. 1).</w:t>
      </w:r>
    </w:p>
  </w:footnote>
  <w:footnote w:id="26">
    <w:p w:rsidR="009B1C9C" w:rsidRPr="00CB55E2" w:rsidRDefault="009B1C9C">
      <w:pPr>
        <w:pStyle w:val="Textpoznpodarou"/>
      </w:pPr>
      <w:r>
        <w:rPr>
          <w:rStyle w:val="Znakapoznpodarou"/>
        </w:rPr>
        <w:footnoteRef/>
      </w:r>
      <w:r>
        <w:tab/>
        <w:t>Nařízení Rady (Euratom, ES) č. 2185/96 ze dne 11. listopadu 1996 o kontrolách a inspekcích na místě prováděných Komisí za účelem ochrany finančních zájmů Evropských společenství proti podvodům a jiným nesrovnalostem (</w:t>
      </w:r>
      <w:proofErr w:type="spellStart"/>
      <w:r>
        <w:t>Úř</w:t>
      </w:r>
      <w:proofErr w:type="spellEnd"/>
      <w:r>
        <w:t xml:space="preserve">. </w:t>
      </w:r>
      <w:proofErr w:type="spellStart"/>
      <w:proofErr w:type="gramStart"/>
      <w:r>
        <w:t>věst</w:t>
      </w:r>
      <w:proofErr w:type="spellEnd"/>
      <w:proofErr w:type="gramEnd"/>
      <w:r>
        <w:t xml:space="preserve">. L 292, </w:t>
      </w:r>
      <w:proofErr w:type="gramStart"/>
      <w:r>
        <w:t>15.11.1996</w:t>
      </w:r>
      <w:proofErr w:type="gramEnd"/>
      <w:r>
        <w:t>, s. 2).</w:t>
      </w:r>
    </w:p>
  </w:footnote>
  <w:footnote w:id="27">
    <w:p w:rsidR="009B1C9C" w:rsidRPr="00CB55E2" w:rsidRDefault="009B1C9C">
      <w:pPr>
        <w:pStyle w:val="Textpoznpodarou"/>
      </w:pPr>
      <w:r>
        <w:rPr>
          <w:rStyle w:val="Znakapoznpodarou"/>
        </w:rPr>
        <w:footnoteRef/>
      </w:r>
      <w:r>
        <w:tab/>
        <w:t>Nařízení Rady (EU) 2017/1939 ze dne 12. října 2017, kterým se provádí posílená spolupráce za účelem zřízení Úřadu evropského veřejného žalobce (</w:t>
      </w:r>
      <w:proofErr w:type="spellStart"/>
      <w:r>
        <w:t>Úř</w:t>
      </w:r>
      <w:proofErr w:type="spellEnd"/>
      <w:r>
        <w:t xml:space="preserve">. </w:t>
      </w:r>
      <w:proofErr w:type="spellStart"/>
      <w:proofErr w:type="gramStart"/>
      <w:r>
        <w:t>věst</w:t>
      </w:r>
      <w:proofErr w:type="spellEnd"/>
      <w:proofErr w:type="gramEnd"/>
      <w:r>
        <w:t xml:space="preserve">. L 283, </w:t>
      </w:r>
      <w:proofErr w:type="gramStart"/>
      <w:r>
        <w:t>31.10.2017</w:t>
      </w:r>
      <w:proofErr w:type="gramEnd"/>
      <w:r>
        <w:t>, s. 1).</w:t>
      </w:r>
    </w:p>
  </w:footnote>
  <w:footnote w:id="28">
    <w:p w:rsidR="009B1C9C" w:rsidRPr="00CB55E2" w:rsidRDefault="009B1C9C">
      <w:pPr>
        <w:pStyle w:val="Textpoznpodarou"/>
      </w:pPr>
      <w:r>
        <w:rPr>
          <w:rStyle w:val="Znakapoznpodarou"/>
        </w:rPr>
        <w:footnoteRef/>
      </w:r>
      <w:r>
        <w:tab/>
        <w:t>Směrnice Evropského parlamentu a Rady (EU) 2017/1371 ze dne 5. července 2017 o boji vedeném trestněprávní cestou proti podvodům poškozujícím finanční zájmy Unie (</w:t>
      </w:r>
      <w:proofErr w:type="spellStart"/>
      <w:r>
        <w:t>Úř</w:t>
      </w:r>
      <w:proofErr w:type="spellEnd"/>
      <w:r>
        <w:t xml:space="preserve">. </w:t>
      </w:r>
      <w:proofErr w:type="spellStart"/>
      <w:proofErr w:type="gramStart"/>
      <w:r>
        <w:t>věst</w:t>
      </w:r>
      <w:proofErr w:type="spellEnd"/>
      <w:proofErr w:type="gramEnd"/>
      <w:r>
        <w:t xml:space="preserve">. L 198, </w:t>
      </w:r>
      <w:proofErr w:type="gramStart"/>
      <w:r>
        <w:t>28.7.2017</w:t>
      </w:r>
      <w:proofErr w:type="gramEnd"/>
      <w:r>
        <w:t>, s. 29).</w:t>
      </w:r>
    </w:p>
  </w:footnote>
  <w:footnote w:id="29">
    <w:p w:rsidR="009B1C9C" w:rsidRPr="00CB55E2" w:rsidRDefault="009B1C9C" w:rsidP="00D9628B">
      <w:pPr>
        <w:pStyle w:val="Textpoznpodarou"/>
      </w:pPr>
      <w:r>
        <w:rPr>
          <w:rStyle w:val="Znakapoznpodarou"/>
        </w:rPr>
        <w:footnoteRef/>
      </w:r>
      <w:r>
        <w:tab/>
        <w:t>Rozhodnutí Rady 2013/755/EU ze dne 25. listopadu 2013 o přidružení zámořských zemí a území k Evropské unii („rozhodnutí o přidružení zámoří“) (</w:t>
      </w:r>
      <w:proofErr w:type="spellStart"/>
      <w:r>
        <w:t>Úř</w:t>
      </w:r>
      <w:proofErr w:type="spellEnd"/>
      <w:r>
        <w:t xml:space="preserve">. </w:t>
      </w:r>
      <w:proofErr w:type="spellStart"/>
      <w:proofErr w:type="gramStart"/>
      <w:r>
        <w:t>věst</w:t>
      </w:r>
      <w:proofErr w:type="spellEnd"/>
      <w:proofErr w:type="gramEnd"/>
      <w:r>
        <w:t xml:space="preserve">. L 344, </w:t>
      </w:r>
      <w:proofErr w:type="gramStart"/>
      <w:r>
        <w:t>19.12.2013</w:t>
      </w:r>
      <w:proofErr w:type="gramEnd"/>
      <w:r>
        <w:t>, s. 1).</w:t>
      </w:r>
    </w:p>
  </w:footnote>
  <w:footnote w:id="30">
    <w:p w:rsidR="009B1C9C" w:rsidRPr="00CB55E2" w:rsidRDefault="009B1C9C">
      <w:pPr>
        <w:pStyle w:val="Textpoznpodarou"/>
      </w:pPr>
      <w:r>
        <w:rPr>
          <w:rStyle w:val="Znakapoznpodarou"/>
        </w:rPr>
        <w:footnoteRef/>
      </w:r>
      <w:r>
        <w:tab/>
        <w:t>Nařízení Evropského parlamentu a Rady (EU) č. 182/2011 ze dne 16. února 2011, kterým se stanoví pravidla a obecné zásady způsobu, jakým členské státy kontrolují Komisi při výkonu prováděcích pravomocí (</w:t>
      </w:r>
      <w:proofErr w:type="spellStart"/>
      <w:r>
        <w:t>Úř</w:t>
      </w:r>
      <w:proofErr w:type="spellEnd"/>
      <w:r>
        <w:t xml:space="preserve">. </w:t>
      </w:r>
      <w:proofErr w:type="spellStart"/>
      <w:proofErr w:type="gramStart"/>
      <w:r>
        <w:t>věst</w:t>
      </w:r>
      <w:proofErr w:type="spellEnd"/>
      <w:proofErr w:type="gramEnd"/>
      <w:r>
        <w:t xml:space="preserve">. L 55, </w:t>
      </w:r>
      <w:proofErr w:type="gramStart"/>
      <w:r>
        <w:t>28.2.2011</w:t>
      </w:r>
      <w:proofErr w:type="gramEnd"/>
      <w:r>
        <w:t>, s. 13).</w:t>
      </w:r>
    </w:p>
  </w:footnote>
  <w:footnote w:id="31">
    <w:p w:rsidR="006C0A40" w:rsidRPr="008D1DC9" w:rsidRDefault="006C0A40">
      <w:pPr>
        <w:pStyle w:val="Textpoznpodarou"/>
      </w:pPr>
      <w:r>
        <w:rPr>
          <w:rStyle w:val="Znakapoznpodarou"/>
        </w:rPr>
        <w:footnoteRef/>
      </w:r>
      <w:r>
        <w:tab/>
      </w:r>
      <w:proofErr w:type="spellStart"/>
      <w:r>
        <w:t>Úř</w:t>
      </w:r>
      <w:proofErr w:type="spellEnd"/>
      <w:r>
        <w:t xml:space="preserve">. </w:t>
      </w:r>
      <w:proofErr w:type="spellStart"/>
      <w:proofErr w:type="gramStart"/>
      <w:r>
        <w:t>věst</w:t>
      </w:r>
      <w:proofErr w:type="spellEnd"/>
      <w:proofErr w:type="gramEnd"/>
      <w:r>
        <w:t xml:space="preserve">. L 124, </w:t>
      </w:r>
      <w:proofErr w:type="gramStart"/>
      <w:r>
        <w:t>20.5.2003</w:t>
      </w:r>
      <w:proofErr w:type="gramEnd"/>
      <w:r>
        <w:t>.</w:t>
      </w:r>
    </w:p>
  </w:footnote>
  <w:footnote w:id="32">
    <w:p w:rsidR="009B1C9C" w:rsidRPr="00CB55E2" w:rsidRDefault="009B1C9C" w:rsidP="00DF167D">
      <w:pPr>
        <w:pStyle w:val="Textpoznpodarou"/>
      </w:pPr>
      <w:r>
        <w:rPr>
          <w:rStyle w:val="Znakapoznpodarou"/>
        </w:rPr>
        <w:footnoteRef/>
      </w:r>
      <w:r>
        <w:tab/>
        <w:t>Uvedené v čl. 58 odst. 2 písm. a) nebo b) finančního nařízení.</w:t>
      </w:r>
    </w:p>
  </w:footnote>
  <w:footnote w:id="33">
    <w:p w:rsidR="009B1C9C" w:rsidRPr="00CB55E2" w:rsidRDefault="009B1C9C" w:rsidP="00DF167D">
      <w:pPr>
        <w:pStyle w:val="Textpoznpodarou"/>
        <w:jc w:val="left"/>
      </w:pPr>
      <w:r>
        <w:rPr>
          <w:rStyle w:val="Znakapoznpodarou"/>
        </w:rPr>
        <w:footnoteRef/>
      </w:r>
      <w:r>
        <w:tab/>
        <w:t xml:space="preserve">Vysvětlení způsobů řízení spolu s odkazem na finanční nařízení jsou k dispozici na stránkách </w:t>
      </w:r>
      <w:proofErr w:type="spellStart"/>
      <w:r>
        <w:t>BudgWeb</w:t>
      </w:r>
      <w:proofErr w:type="spellEnd"/>
      <w:r>
        <w:t xml:space="preserve">: </w:t>
      </w:r>
      <w:hyperlink r:id="rId13">
        <w:r>
          <w:rPr>
            <w:rStyle w:val="Hypertextovodkaz"/>
            <w:color w:val="auto"/>
          </w:rPr>
          <w:t>https://myintracomm.ec.europa.eu/budgweb/EN/man/budgmanag/Pages/budgmanag.aspx</w:t>
        </w:r>
      </w:hyperlink>
      <w:r>
        <w:t xml:space="preserve"> </w:t>
      </w:r>
    </w:p>
  </w:footnote>
  <w:footnote w:id="34">
    <w:p w:rsidR="009B1C9C" w:rsidRPr="00CB55E2" w:rsidRDefault="009B1C9C" w:rsidP="00DF167D">
      <w:pPr>
        <w:pStyle w:val="Textpoznpodarou"/>
      </w:pPr>
      <w:r>
        <w:rPr>
          <w:rStyle w:val="Znakapoznpodarou"/>
        </w:rPr>
        <w:footnoteRef/>
      </w:r>
      <w:r>
        <w:tab/>
        <w:t>RP = rozlišené prostředky / NRP = nerozlišené prostředky.</w:t>
      </w:r>
    </w:p>
  </w:footnote>
  <w:footnote w:id="35">
    <w:p w:rsidR="009B1C9C" w:rsidRPr="00CB55E2" w:rsidRDefault="009B1C9C" w:rsidP="00DF167D">
      <w:pPr>
        <w:pStyle w:val="Textpoznpodarou"/>
      </w:pPr>
      <w:r>
        <w:rPr>
          <w:rStyle w:val="Znakapoznpodarou"/>
        </w:rPr>
        <w:footnoteRef/>
      </w:r>
      <w:r>
        <w:tab/>
        <w:t xml:space="preserve">ESVO: Evropské sdružení volného obchodu. </w:t>
      </w:r>
    </w:p>
  </w:footnote>
  <w:footnote w:id="36">
    <w:p w:rsidR="009B1C9C" w:rsidRPr="00CB55E2" w:rsidRDefault="009B1C9C" w:rsidP="00DF167D">
      <w:pPr>
        <w:pStyle w:val="Textpoznpodarou"/>
      </w:pPr>
      <w:r>
        <w:rPr>
          <w:rStyle w:val="Znakapoznpodarou"/>
        </w:rPr>
        <w:footnoteRef/>
      </w:r>
      <w:r>
        <w:tab/>
        <w:t>Kandidátské země a případně potenciální kandidáti ze západního Balkánu.</w:t>
      </w:r>
    </w:p>
  </w:footnote>
  <w:footnote w:id="37">
    <w:p w:rsidR="009B1C9C" w:rsidRPr="00CB55E2" w:rsidRDefault="009B1C9C" w:rsidP="00B00630">
      <w:pPr>
        <w:pStyle w:val="Textpoznpodarou"/>
      </w:pPr>
      <w:r>
        <w:rPr>
          <w:rStyle w:val="Znakapoznpodarou"/>
        </w:rPr>
        <w:footnoteRef/>
      </w:r>
      <w:r>
        <w:tab/>
        <w:t>Celkový součet neodpovídá přesně v důsledku zaokrouhlení.</w:t>
      </w:r>
    </w:p>
  </w:footnote>
  <w:footnote w:id="38">
    <w:p w:rsidR="009B1C9C" w:rsidRPr="00CB55E2" w:rsidRDefault="009B1C9C" w:rsidP="005D43D3">
      <w:pPr>
        <w:pStyle w:val="Textpoznpodarou"/>
      </w:pPr>
      <w:r>
        <w:rPr>
          <w:rStyle w:val="Znakapoznpodarou"/>
        </w:rPr>
        <w:footnoteRef/>
      </w:r>
      <w:r>
        <w:tab/>
        <w:t>Program může být (částečně) přenesen na výkonnou agenturu, s výhradou výsledku analýzy nákladů a přínosů a souvisejících rozhodnutí, která mají být přijata.</w:t>
      </w:r>
    </w:p>
  </w:footnote>
  <w:footnote w:id="39">
    <w:p w:rsidR="009B1C9C" w:rsidRPr="00CB55E2" w:rsidRDefault="009B1C9C" w:rsidP="000F5F59">
      <w:pPr>
        <w:pStyle w:val="Textpoznpodarou"/>
        <w:ind w:left="567" w:hanging="567"/>
      </w:pPr>
      <w:r>
        <w:rPr>
          <w:rStyle w:val="Znakapoznpodarou"/>
        </w:rPr>
        <w:footnoteRef/>
      </w:r>
      <w:r>
        <w:tab/>
        <w:t>Odhady počtu zaměstnanců vycházejí ze stavu zaměstnanců Komise (mimo výkonné agentury) v roce 2018 s postupným zaváděním. Částky vycházejí z průměrných nákladů každoročně zvyšovaných od roku 2019 o 2 % kvůli indexaci a o 1,5 % kvůli dopadu kariérního vývoje (stálí zaměstnanci +dočasní zaměstnanci). Nezahrnují odhad počtu nezbytných zaměstnanců, který bude zapotřebí pro decentralizované subjekty, mimo dalších zaměstnanců placených z příspěvků budoucích přidružených zemí.</w:t>
      </w:r>
    </w:p>
  </w:footnote>
  <w:footnote w:id="40">
    <w:p w:rsidR="009B1C9C" w:rsidRPr="00CB55E2" w:rsidRDefault="009B1C9C" w:rsidP="00DF167D">
      <w:pPr>
        <w:pStyle w:val="Textpoznpodarou"/>
      </w:pPr>
      <w:r>
        <w:rPr>
          <w:rStyle w:val="Znakapoznpodarou"/>
        </w:rPr>
        <w:footnoteRef/>
      </w:r>
      <w:r>
        <w:tab/>
        <w:t>Technická a/nebo administrativní pomoc a výdaje na podporu provádění programů a/nebo akcí EU (bývalé položky „BA“), nepřímý výzkum, přímý výzkum.</w:t>
      </w:r>
    </w:p>
  </w:footnote>
  <w:footnote w:id="41">
    <w:p w:rsidR="009B1C9C" w:rsidRPr="00CB55E2" w:rsidRDefault="009B1C9C" w:rsidP="00DF167D">
      <w:pPr>
        <w:pStyle w:val="Textpoznpodarou"/>
      </w:pPr>
      <w:r>
        <w:rPr>
          <w:rStyle w:val="Znakapoznpodarou"/>
        </w:rPr>
        <w:footnoteRef/>
      </w:r>
      <w:r>
        <w:tab/>
        <w:t>SZ = smluvní zaměstnanec; MZ = místní zaměstnanec; VNO = vyslaný národní odborník; ZAP = zaměstnanec agentury práce; MOD = mladý odborník při delegaci.</w:t>
      </w:r>
    </w:p>
  </w:footnote>
  <w:footnote w:id="42">
    <w:p w:rsidR="009B1C9C" w:rsidRPr="00CB55E2" w:rsidRDefault="009B1C9C" w:rsidP="00DF167D">
      <w:pPr>
        <w:pStyle w:val="Textpoznpodarou"/>
      </w:pPr>
      <w:r>
        <w:rPr>
          <w:rStyle w:val="Znakapoznpodarou"/>
        </w:rPr>
        <w:footnoteRef/>
      </w:r>
      <w:r>
        <w:tab/>
        <w:t>Dílčí strop na externí zaměstnance financované z operačních prostředků (bývalé položky „BA“).</w:t>
      </w:r>
    </w:p>
  </w:footnote>
  <w:footnote w:id="43">
    <w:p w:rsidR="009B1C9C" w:rsidRPr="00CB55E2" w:rsidRDefault="009B1C9C" w:rsidP="00DF167D">
      <w:pPr>
        <w:pStyle w:val="Textpoznpodarou"/>
      </w:pPr>
      <w:r>
        <w:rPr>
          <w:rStyle w:val="Znakapoznpodarou"/>
        </w:rPr>
        <w:footnoteRef/>
      </w:r>
      <w:r>
        <w:tab/>
        <w:t>Pokud jde o tradiční vlastní zdroje (cla, dávky z cukru), je třeba uvést čisté částky, tj. hrubé částky po odečtení 20 % nákladů na výběr.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2CA" w:rsidRPr="00DA02CA" w:rsidRDefault="00DA02CA" w:rsidP="00DA02CA">
    <w:pPr>
      <w:pStyle w:val="Zhlav"/>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2CA" w:rsidRPr="00DA02CA" w:rsidRDefault="00DA02CA" w:rsidP="00DA02CA">
    <w:pPr>
      <w:pStyle w:val="Zhlav"/>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2CA" w:rsidRPr="00DA02CA" w:rsidRDefault="00DA02CA" w:rsidP="00DA02C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2CA" w:rsidRPr="00DA02CA" w:rsidRDefault="00DA02CA" w:rsidP="00DA02CA">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2CA" w:rsidRPr="00DA02CA" w:rsidRDefault="00DA02CA" w:rsidP="00DA02CA">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2CA" w:rsidRPr="00DA02CA" w:rsidRDefault="00DA02CA" w:rsidP="00DA02CA">
    <w:pPr>
      <w:pStyle w:val="Zhlav"/>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2CA" w:rsidRPr="00DA02CA" w:rsidRDefault="00DA02CA" w:rsidP="00DA02CA">
    <w:pPr>
      <w:pStyle w:val="Zhlav"/>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2CA" w:rsidRPr="00DA02CA" w:rsidRDefault="00DA02CA" w:rsidP="00DA02CA">
    <w:pPr>
      <w:pStyle w:val="Zhlav"/>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2CA" w:rsidRPr="00DA02CA" w:rsidRDefault="00DA02CA" w:rsidP="00DA02CA">
    <w:pPr>
      <w:pStyle w:val="Zhlav"/>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2CA" w:rsidRPr="00DA02CA" w:rsidRDefault="00DA02CA" w:rsidP="00DA02CA">
    <w:pPr>
      <w:pStyle w:val="HeaderLandscap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2CA" w:rsidRPr="00DA02CA" w:rsidRDefault="00DA02CA" w:rsidP="00DA02CA">
    <w:pPr>
      <w:pStyle w:val="HeaderLandscap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2EC5926"/>
    <w:lvl w:ilvl="0">
      <w:start w:val="1"/>
      <w:numFmt w:val="decimal"/>
      <w:pStyle w:val="slovanseznam4"/>
      <w:lvlText w:val="%1."/>
      <w:lvlJc w:val="left"/>
      <w:pPr>
        <w:tabs>
          <w:tab w:val="num" w:pos="1209"/>
        </w:tabs>
        <w:ind w:left="1209" w:hanging="360"/>
      </w:pPr>
    </w:lvl>
  </w:abstractNum>
  <w:abstractNum w:abstractNumId="1">
    <w:nsid w:val="FFFFFF7E"/>
    <w:multiLevelType w:val="singleLevel"/>
    <w:tmpl w:val="77124D42"/>
    <w:lvl w:ilvl="0">
      <w:start w:val="1"/>
      <w:numFmt w:val="decimal"/>
      <w:pStyle w:val="slovanseznam3"/>
      <w:lvlText w:val="%1."/>
      <w:lvlJc w:val="left"/>
      <w:pPr>
        <w:tabs>
          <w:tab w:val="num" w:pos="926"/>
        </w:tabs>
        <w:ind w:left="926" w:hanging="360"/>
      </w:pPr>
    </w:lvl>
  </w:abstractNum>
  <w:abstractNum w:abstractNumId="2">
    <w:nsid w:val="FFFFFF7F"/>
    <w:multiLevelType w:val="singleLevel"/>
    <w:tmpl w:val="5D947F62"/>
    <w:lvl w:ilvl="0">
      <w:start w:val="1"/>
      <w:numFmt w:val="decimal"/>
      <w:pStyle w:val="slovanseznam2"/>
      <w:lvlText w:val="%1."/>
      <w:lvlJc w:val="left"/>
      <w:pPr>
        <w:tabs>
          <w:tab w:val="num" w:pos="643"/>
        </w:tabs>
        <w:ind w:left="643" w:hanging="360"/>
      </w:pPr>
    </w:lvl>
  </w:abstractNum>
  <w:abstractNum w:abstractNumId="3">
    <w:nsid w:val="FFFFFF81"/>
    <w:multiLevelType w:val="singleLevel"/>
    <w:tmpl w:val="767AC3C0"/>
    <w:lvl w:ilvl="0">
      <w:start w:val="1"/>
      <w:numFmt w:val="bullet"/>
      <w:pStyle w:val="Seznamsodrkami4"/>
      <w:lvlText w:val=""/>
      <w:lvlJc w:val="left"/>
      <w:pPr>
        <w:tabs>
          <w:tab w:val="num" w:pos="1209"/>
        </w:tabs>
        <w:ind w:left="1209" w:hanging="360"/>
      </w:pPr>
      <w:rPr>
        <w:rFonts w:ascii="Symbol" w:hAnsi="Symbol" w:hint="default"/>
      </w:rPr>
    </w:lvl>
  </w:abstractNum>
  <w:abstractNum w:abstractNumId="4">
    <w:nsid w:val="FFFFFF82"/>
    <w:multiLevelType w:val="singleLevel"/>
    <w:tmpl w:val="5E58B0E6"/>
    <w:lvl w:ilvl="0">
      <w:start w:val="1"/>
      <w:numFmt w:val="bullet"/>
      <w:pStyle w:val="Seznamsodrkami3"/>
      <w:lvlText w:val=""/>
      <w:lvlJc w:val="left"/>
      <w:pPr>
        <w:tabs>
          <w:tab w:val="num" w:pos="926"/>
        </w:tabs>
        <w:ind w:left="926" w:hanging="360"/>
      </w:pPr>
      <w:rPr>
        <w:rFonts w:ascii="Symbol" w:hAnsi="Symbol" w:hint="default"/>
      </w:rPr>
    </w:lvl>
  </w:abstractNum>
  <w:abstractNum w:abstractNumId="5">
    <w:nsid w:val="FFFFFF83"/>
    <w:multiLevelType w:val="singleLevel"/>
    <w:tmpl w:val="618A49FE"/>
    <w:lvl w:ilvl="0">
      <w:start w:val="1"/>
      <w:numFmt w:val="bullet"/>
      <w:pStyle w:val="Seznamsodrkami2"/>
      <w:lvlText w:val=""/>
      <w:lvlJc w:val="left"/>
      <w:pPr>
        <w:tabs>
          <w:tab w:val="num" w:pos="643"/>
        </w:tabs>
        <w:ind w:left="643" w:hanging="360"/>
      </w:pPr>
      <w:rPr>
        <w:rFonts w:ascii="Symbol" w:hAnsi="Symbol" w:hint="default"/>
      </w:rPr>
    </w:lvl>
  </w:abstractNum>
  <w:abstractNum w:abstractNumId="6">
    <w:nsid w:val="FFFFFF88"/>
    <w:multiLevelType w:val="singleLevel"/>
    <w:tmpl w:val="24DA3136"/>
    <w:lvl w:ilvl="0">
      <w:start w:val="1"/>
      <w:numFmt w:val="decimal"/>
      <w:pStyle w:val="slovanseznam"/>
      <w:lvlText w:val="%1."/>
      <w:lvlJc w:val="left"/>
      <w:pPr>
        <w:tabs>
          <w:tab w:val="num" w:pos="360"/>
        </w:tabs>
        <w:ind w:left="360" w:hanging="360"/>
      </w:pPr>
    </w:lvl>
  </w:abstractNum>
  <w:abstractNum w:abstractNumId="7">
    <w:nsid w:val="FFFFFF89"/>
    <w:multiLevelType w:val="singleLevel"/>
    <w:tmpl w:val="8D26843E"/>
    <w:lvl w:ilvl="0">
      <w:start w:val="1"/>
      <w:numFmt w:val="bullet"/>
      <w:pStyle w:val="Seznamsodrkami"/>
      <w:lvlText w:val=""/>
      <w:lvlJc w:val="left"/>
      <w:pPr>
        <w:tabs>
          <w:tab w:val="num" w:pos="360"/>
        </w:tabs>
        <w:ind w:left="360" w:hanging="360"/>
      </w:pPr>
      <w:rPr>
        <w:rFonts w:ascii="Symbol" w:hAnsi="Symbol" w:hint="default"/>
      </w:rPr>
    </w:lvl>
  </w:abstractNum>
  <w:abstractNum w:abstractNumId="8">
    <w:nsid w:val="14A521BD"/>
    <w:multiLevelType w:val="hybridMultilevel"/>
    <w:tmpl w:val="1D78F35A"/>
    <w:styleLink w:val="Lettered"/>
    <w:lvl w:ilvl="0" w:tplc="4CFE2188">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9AA1286">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4C88C76">
      <w:start w:val="1"/>
      <w:numFmt w:val="low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E78CB04">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E0A8134">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6C47380">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33EB0EE">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310D38A">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E82E398">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89D74ED"/>
    <w:multiLevelType w:val="singleLevel"/>
    <w:tmpl w:val="C2E2F936"/>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Nadpis1"/>
      <w:lvlText w:val="%1."/>
      <w:lvlJc w:val="left"/>
      <w:pPr>
        <w:tabs>
          <w:tab w:val="num" w:pos="850"/>
        </w:tabs>
        <w:ind w:left="850" w:hanging="850"/>
      </w:pPr>
    </w:lvl>
    <w:lvl w:ilvl="1">
      <w:start w:val="1"/>
      <w:numFmt w:val="decimal"/>
      <w:pStyle w:val="Nadpis2"/>
      <w:lvlText w:val="%1.%2."/>
      <w:lvlJc w:val="left"/>
      <w:pPr>
        <w:tabs>
          <w:tab w:val="num" w:pos="850"/>
        </w:tabs>
        <w:ind w:left="850" w:hanging="850"/>
      </w:pPr>
    </w:lvl>
    <w:lvl w:ilvl="2">
      <w:start w:val="1"/>
      <w:numFmt w:val="decimal"/>
      <w:pStyle w:val="Nadpis3"/>
      <w:lvlText w:val="%1.%2.%3."/>
      <w:lvlJc w:val="left"/>
      <w:pPr>
        <w:tabs>
          <w:tab w:val="num" w:pos="850"/>
        </w:tabs>
        <w:ind w:left="850" w:hanging="850"/>
      </w:pPr>
    </w:lvl>
    <w:lvl w:ilvl="3">
      <w:start w:val="1"/>
      <w:numFmt w:val="decimal"/>
      <w:pStyle w:val="Nadpis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1F06166"/>
    <w:multiLevelType w:val="multilevel"/>
    <w:tmpl w:val="CE089BD0"/>
    <w:name w:val="0,3405529"/>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 w:numId="10">
    <w:abstractNumId w:val="1"/>
  </w:num>
  <w:num w:numId="11">
    <w:abstractNumId w:val="0"/>
  </w:num>
  <w:num w:numId="12">
    <w:abstractNumId w:val="24"/>
    <w:lvlOverride w:ilvl="0">
      <w:startOverride w:val="1"/>
    </w:lvlOverride>
  </w:num>
  <w:num w:numId="13">
    <w:abstractNumId w:val="16"/>
  </w:num>
  <w:num w:numId="14">
    <w:abstractNumId w:val="23"/>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num>
  <w:num w:numId="28">
    <w:abstractNumId w:val="20"/>
  </w:num>
  <w:num w:numId="29">
    <w:abstractNumId w:val="13"/>
  </w:num>
  <w:num w:numId="30">
    <w:abstractNumId w:val="22"/>
  </w:num>
  <w:num w:numId="31">
    <w:abstractNumId w:val="12"/>
  </w:num>
  <w:num w:numId="32">
    <w:abstractNumId w:val="14"/>
  </w:num>
  <w:num w:numId="33">
    <w:abstractNumId w:val="10"/>
  </w:num>
  <w:num w:numId="34">
    <w:abstractNumId w:val="21"/>
  </w:num>
  <w:num w:numId="35">
    <w:abstractNumId w:val="9"/>
  </w:num>
  <w:num w:numId="36">
    <w:abstractNumId w:val="15"/>
  </w:num>
  <w:num w:numId="37">
    <w:abstractNumId w:val="18"/>
  </w:num>
  <w:num w:numId="38">
    <w:abstractNumId w:val="19"/>
  </w:num>
  <w:num w:numId="39">
    <w:abstractNumId w:val="11"/>
  </w:num>
  <w:num w:numId="40">
    <w:abstractNumId w:val="17"/>
  </w:num>
  <w:num w:numId="41">
    <w:abstractNumId w:val="24"/>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GLESIAS ALVAREZ Ana (EAC)">
    <w15:presenceInfo w15:providerId="None" w15:userId="IGLESIAS ALVAREZ Ana (E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isplayBackgroundShape/>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de-DE" w:vendorID="64" w:dllVersion="131078" w:nlCheck="1" w:checkStyle="1"/>
  <w:activeWritingStyle w:appName="MSWord" w:lang="pt-PT" w:vendorID="64" w:dllVersion="131078" w:nlCheck="1" w:checkStyle="0"/>
  <w:activeWritingStyle w:appName="MSWord" w:lang="it-IT" w:vendorID="64" w:dllVersion="131078" w:nlCheck="1" w:checkStyle="0"/>
  <w:proofState w:spelling="clean" w:grammar="clean"/>
  <w:attachedTemplate r:id="rId1"/>
  <w:doNotTrackFormatting/>
  <w:defaultTabStop w:val="720"/>
  <w:hyphenationZone w:val="425"/>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04 10:05:12"/>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6"/>
    <w:docVar w:name="DQCResult_ModifiedMarkers" w:val="0;0"/>
    <w:docVar w:name="DQCResult_ModifiedNumbering" w:val="0;0"/>
    <w:docVar w:name="DQCResult_Objects" w:val="0;0"/>
    <w:docVar w:name="DQCResult_Sections" w:val="0;1"/>
    <w:docVar w:name="DQCResult_StructureCheck" w:val="0;0"/>
    <w:docVar w:name="DQCResult_SuperfluousWhitespace" w:val="0;16"/>
    <w:docVar w:name="DQCResult_UnknownFonts" w:val="0;0"/>
    <w:docVar w:name="DQCResult_UnknownStyles" w:val="0;0"/>
    <w:docVar w:name="DQCStatus" w:val="Yellow"/>
    <w:docVar w:name="DQCVersion" w:val="3"/>
    <w:docVar w:name="DQCWithWarnings" w:val="0"/>
    <w:docVar w:name="LW_CORRIGENDUM" w:val="&lt;UNUSED&gt;"/>
    <w:docVar w:name="LW_COVERPAGE_EXISTS" w:val="True"/>
    <w:docVar w:name="LW_COVERPAGE_GUID" w:val="7D846A46-FE0A-47F6-A411-2EF3915E0AF5"/>
    <w:docVar w:name="LW_COVERPAGE_TYPE" w:val="1"/>
    <w:docVar w:name="LW_CROSSREFERENCE" w:val="{SEC(2018) 274 final}_x000a_{SWD(2018) 290 final}_x000a_{SWD(2018) 291 final}"/>
    <w:docVar w:name="LW_DocType" w:val="COM"/>
    <w:docVar w:name="LW_EMISSION" w:val="30.5.2018"/>
    <w:docVar w:name="LW_EMISSION_ISODATE" w:val="2018-05-30"/>
    <w:docVar w:name="LW_EMISSION_LOCATION" w:val="BRX"/>
    <w:docVar w:name="LW_EMISSION_PREFIX" w:val="V Bruselu dne"/>
    <w:docVar w:name="LW_EMISSION_SUFFIX" w:val=" "/>
    <w:docVar w:name="LW_ID_DOCMODEL" w:val="SJ-023"/>
    <w:docVar w:name="LW_ID_DOCSIGNATURE" w:val="SJ-023"/>
    <w:docVar w:name="LW_ID_DOCSTRUCTURE" w:val="COM/PL/ORG"/>
    <w:docVar w:name="LW_ID_DOCTYPE" w:val="SJ-023"/>
    <w:docVar w:name="LW_ID_STATUT" w:val="SJ-023"/>
    <w:docVar w:name="LW_INTERETEEE.CP" w:val="(Text s významem pro EHP)"/>
    <w:docVar w:name="LW_LANGUE" w:val="CS"/>
    <w:docVar w:name="LW_LEVEL_OF_SENSITIVITY" w:val="Standard treatment"/>
    <w:docVar w:name="LW_NOM.INST" w:val="EVROPSKÁ KOMISE"/>
    <w:docVar w:name="LW_NOM.INST_JOINTDOC" w:val="&lt;EMPTY&gt;"/>
    <w:docVar w:name="LW_PART_NBR" w:val="1"/>
    <w:docVar w:name="LW_PART_NBR_TOTAL" w:val="1"/>
    <w:docVar w:name="LW_REF.II.NEW.CP" w:val="COD"/>
    <w:docVar w:name="LW_REF.II.NEW.CP_NUMBER" w:val="0190"/>
    <w:docVar w:name="LW_REF.II.NEW.CP_YEAR" w:val="2018"/>
    <w:docVar w:name="LW_REF.INST.NEW" w:val="COM"/>
    <w:docVar w:name="LW_REF.INST.NEW_ADOPTED" w:val="&lt;EMPTY&gt;"/>
    <w:docVar w:name="LW_REF.INST.NEW_TEXT" w:val="(2018) 366 final"/>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Návrh"/>
    <w:docVar w:name="LW_SUPERTITRE" w:val="&lt;UNUSED&gt;"/>
    <w:docVar w:name="LW_TITRE.OBJ.CP" w:val="kterým se zavádí program Kreativní Evropa (2021\u8211?2027) a zru\u353?uje na\u345?ízení (EU) \u269?. 1295/2013"/>
    <w:docVar w:name="LW_TYPE.DOC.CP" w:val="NA\u344?ÍZENÍ EVROPSKÉHO PARLAMENTU A RADY,"/>
  </w:docVars>
  <w:rsids>
    <w:rsidRoot w:val="00C5603D"/>
    <w:rsid w:val="00000B5E"/>
    <w:rsid w:val="000018DD"/>
    <w:rsid w:val="00001E83"/>
    <w:rsid w:val="00005564"/>
    <w:rsid w:val="00006635"/>
    <w:rsid w:val="00013FDD"/>
    <w:rsid w:val="000142AF"/>
    <w:rsid w:val="00014CAC"/>
    <w:rsid w:val="000151A1"/>
    <w:rsid w:val="00015A5D"/>
    <w:rsid w:val="00016635"/>
    <w:rsid w:val="00016829"/>
    <w:rsid w:val="00020CCF"/>
    <w:rsid w:val="00022B99"/>
    <w:rsid w:val="000311E5"/>
    <w:rsid w:val="000331AB"/>
    <w:rsid w:val="000333DB"/>
    <w:rsid w:val="0003437C"/>
    <w:rsid w:val="000349D6"/>
    <w:rsid w:val="0003503F"/>
    <w:rsid w:val="0003549A"/>
    <w:rsid w:val="00036FF9"/>
    <w:rsid w:val="00037513"/>
    <w:rsid w:val="0003791A"/>
    <w:rsid w:val="00037D3E"/>
    <w:rsid w:val="00040445"/>
    <w:rsid w:val="00040C8C"/>
    <w:rsid w:val="000427CD"/>
    <w:rsid w:val="00044380"/>
    <w:rsid w:val="00045339"/>
    <w:rsid w:val="00045E82"/>
    <w:rsid w:val="000467F6"/>
    <w:rsid w:val="00051696"/>
    <w:rsid w:val="00051A27"/>
    <w:rsid w:val="00051E2E"/>
    <w:rsid w:val="00054D8A"/>
    <w:rsid w:val="00055C57"/>
    <w:rsid w:val="00056A94"/>
    <w:rsid w:val="00056BE8"/>
    <w:rsid w:val="00060509"/>
    <w:rsid w:val="00061771"/>
    <w:rsid w:val="0006242E"/>
    <w:rsid w:val="00062BED"/>
    <w:rsid w:val="00064513"/>
    <w:rsid w:val="00064CF4"/>
    <w:rsid w:val="00065340"/>
    <w:rsid w:val="000666A2"/>
    <w:rsid w:val="00071420"/>
    <w:rsid w:val="00071E8F"/>
    <w:rsid w:val="000738D2"/>
    <w:rsid w:val="00074774"/>
    <w:rsid w:val="00076867"/>
    <w:rsid w:val="0008013B"/>
    <w:rsid w:val="000807FB"/>
    <w:rsid w:val="000812EB"/>
    <w:rsid w:val="0008293D"/>
    <w:rsid w:val="00082C16"/>
    <w:rsid w:val="00083936"/>
    <w:rsid w:val="00083AAF"/>
    <w:rsid w:val="00083CC9"/>
    <w:rsid w:val="00083E0D"/>
    <w:rsid w:val="000867D6"/>
    <w:rsid w:val="0008685F"/>
    <w:rsid w:val="00086A67"/>
    <w:rsid w:val="0009169D"/>
    <w:rsid w:val="00091DCC"/>
    <w:rsid w:val="00093794"/>
    <w:rsid w:val="00094F91"/>
    <w:rsid w:val="00095078"/>
    <w:rsid w:val="000950AC"/>
    <w:rsid w:val="0009563A"/>
    <w:rsid w:val="00096448"/>
    <w:rsid w:val="000A07A8"/>
    <w:rsid w:val="000A1272"/>
    <w:rsid w:val="000A16A4"/>
    <w:rsid w:val="000A255E"/>
    <w:rsid w:val="000A2EAD"/>
    <w:rsid w:val="000A32D2"/>
    <w:rsid w:val="000A55F2"/>
    <w:rsid w:val="000B0642"/>
    <w:rsid w:val="000B12AF"/>
    <w:rsid w:val="000B4482"/>
    <w:rsid w:val="000B48AD"/>
    <w:rsid w:val="000B5A21"/>
    <w:rsid w:val="000B65B7"/>
    <w:rsid w:val="000B6D28"/>
    <w:rsid w:val="000C038C"/>
    <w:rsid w:val="000C04DB"/>
    <w:rsid w:val="000C0BB1"/>
    <w:rsid w:val="000C0C9E"/>
    <w:rsid w:val="000C1BE9"/>
    <w:rsid w:val="000C2756"/>
    <w:rsid w:val="000C2BC3"/>
    <w:rsid w:val="000C3703"/>
    <w:rsid w:val="000C3BAB"/>
    <w:rsid w:val="000C5824"/>
    <w:rsid w:val="000C62B9"/>
    <w:rsid w:val="000C7727"/>
    <w:rsid w:val="000D100E"/>
    <w:rsid w:val="000D2FB2"/>
    <w:rsid w:val="000D3B73"/>
    <w:rsid w:val="000D5FE3"/>
    <w:rsid w:val="000E1245"/>
    <w:rsid w:val="000E1F99"/>
    <w:rsid w:val="000E2925"/>
    <w:rsid w:val="000E37FF"/>
    <w:rsid w:val="000E43A4"/>
    <w:rsid w:val="000E4467"/>
    <w:rsid w:val="000E4B42"/>
    <w:rsid w:val="000E589B"/>
    <w:rsid w:val="000E5F62"/>
    <w:rsid w:val="000E5FF5"/>
    <w:rsid w:val="000F0415"/>
    <w:rsid w:val="000F28A2"/>
    <w:rsid w:val="000F28DF"/>
    <w:rsid w:val="000F3B60"/>
    <w:rsid w:val="000F49C6"/>
    <w:rsid w:val="000F5F59"/>
    <w:rsid w:val="000F603E"/>
    <w:rsid w:val="000F607D"/>
    <w:rsid w:val="000F7FC9"/>
    <w:rsid w:val="00101A96"/>
    <w:rsid w:val="0010216F"/>
    <w:rsid w:val="00102F0C"/>
    <w:rsid w:val="001032B0"/>
    <w:rsid w:val="0010595B"/>
    <w:rsid w:val="001062B8"/>
    <w:rsid w:val="0010699B"/>
    <w:rsid w:val="001103E6"/>
    <w:rsid w:val="00110733"/>
    <w:rsid w:val="0011092A"/>
    <w:rsid w:val="00110DA8"/>
    <w:rsid w:val="00111DF0"/>
    <w:rsid w:val="001131E1"/>
    <w:rsid w:val="00113535"/>
    <w:rsid w:val="001137A9"/>
    <w:rsid w:val="00114E9A"/>
    <w:rsid w:val="001152E8"/>
    <w:rsid w:val="001154C4"/>
    <w:rsid w:val="001164A4"/>
    <w:rsid w:val="00123538"/>
    <w:rsid w:val="00123E12"/>
    <w:rsid w:val="00124EC5"/>
    <w:rsid w:val="00125801"/>
    <w:rsid w:val="00125898"/>
    <w:rsid w:val="001259EC"/>
    <w:rsid w:val="001277B7"/>
    <w:rsid w:val="001277C2"/>
    <w:rsid w:val="00127DCF"/>
    <w:rsid w:val="001304B0"/>
    <w:rsid w:val="00130C18"/>
    <w:rsid w:val="00131508"/>
    <w:rsid w:val="001315E0"/>
    <w:rsid w:val="00135731"/>
    <w:rsid w:val="001372CB"/>
    <w:rsid w:val="00141577"/>
    <w:rsid w:val="001429A0"/>
    <w:rsid w:val="0014355B"/>
    <w:rsid w:val="0014483D"/>
    <w:rsid w:val="00152BA1"/>
    <w:rsid w:val="00154A26"/>
    <w:rsid w:val="00154EAE"/>
    <w:rsid w:val="00155430"/>
    <w:rsid w:val="00156282"/>
    <w:rsid w:val="001634C4"/>
    <w:rsid w:val="001639C7"/>
    <w:rsid w:val="001662DF"/>
    <w:rsid w:val="00166BA6"/>
    <w:rsid w:val="00166F74"/>
    <w:rsid w:val="001677BD"/>
    <w:rsid w:val="0017094E"/>
    <w:rsid w:val="00171635"/>
    <w:rsid w:val="00171D1B"/>
    <w:rsid w:val="00172DEF"/>
    <w:rsid w:val="00174C9D"/>
    <w:rsid w:val="001752EB"/>
    <w:rsid w:val="00175BF4"/>
    <w:rsid w:val="00177F54"/>
    <w:rsid w:val="00180BB6"/>
    <w:rsid w:val="001817AA"/>
    <w:rsid w:val="00181E09"/>
    <w:rsid w:val="00183D79"/>
    <w:rsid w:val="00184F0A"/>
    <w:rsid w:val="001853A0"/>
    <w:rsid w:val="00186798"/>
    <w:rsid w:val="0018764C"/>
    <w:rsid w:val="001923CC"/>
    <w:rsid w:val="00192ACC"/>
    <w:rsid w:val="001937DC"/>
    <w:rsid w:val="00194D03"/>
    <w:rsid w:val="0019538D"/>
    <w:rsid w:val="00195836"/>
    <w:rsid w:val="00196131"/>
    <w:rsid w:val="00196402"/>
    <w:rsid w:val="001966BA"/>
    <w:rsid w:val="001966F4"/>
    <w:rsid w:val="001A0E5D"/>
    <w:rsid w:val="001A1345"/>
    <w:rsid w:val="001A28D0"/>
    <w:rsid w:val="001A5482"/>
    <w:rsid w:val="001A57C7"/>
    <w:rsid w:val="001A57D3"/>
    <w:rsid w:val="001A7B20"/>
    <w:rsid w:val="001B0911"/>
    <w:rsid w:val="001B5024"/>
    <w:rsid w:val="001B5093"/>
    <w:rsid w:val="001B7F19"/>
    <w:rsid w:val="001C0476"/>
    <w:rsid w:val="001C0F27"/>
    <w:rsid w:val="001C2A34"/>
    <w:rsid w:val="001C2FE7"/>
    <w:rsid w:val="001C6996"/>
    <w:rsid w:val="001C6A1B"/>
    <w:rsid w:val="001C7E4C"/>
    <w:rsid w:val="001D081D"/>
    <w:rsid w:val="001D1153"/>
    <w:rsid w:val="001D1186"/>
    <w:rsid w:val="001D1885"/>
    <w:rsid w:val="001D4AD8"/>
    <w:rsid w:val="001D5093"/>
    <w:rsid w:val="001D5D43"/>
    <w:rsid w:val="001D5E70"/>
    <w:rsid w:val="001D629E"/>
    <w:rsid w:val="001D6356"/>
    <w:rsid w:val="001D7796"/>
    <w:rsid w:val="001E0C01"/>
    <w:rsid w:val="001E0C8F"/>
    <w:rsid w:val="001E1394"/>
    <w:rsid w:val="001E1418"/>
    <w:rsid w:val="001E145F"/>
    <w:rsid w:val="001E1666"/>
    <w:rsid w:val="001E2528"/>
    <w:rsid w:val="001E2F1A"/>
    <w:rsid w:val="001E4FA2"/>
    <w:rsid w:val="001E6405"/>
    <w:rsid w:val="001E7B64"/>
    <w:rsid w:val="001F007B"/>
    <w:rsid w:val="001F07AB"/>
    <w:rsid w:val="001F282F"/>
    <w:rsid w:val="001F566C"/>
    <w:rsid w:val="001F5EA6"/>
    <w:rsid w:val="0020069E"/>
    <w:rsid w:val="00200DEB"/>
    <w:rsid w:val="002017B5"/>
    <w:rsid w:val="002020DE"/>
    <w:rsid w:val="00202C4B"/>
    <w:rsid w:val="00202D6F"/>
    <w:rsid w:val="002035C1"/>
    <w:rsid w:val="0020379B"/>
    <w:rsid w:val="002044A3"/>
    <w:rsid w:val="00210359"/>
    <w:rsid w:val="00211704"/>
    <w:rsid w:val="00211A40"/>
    <w:rsid w:val="00211ACE"/>
    <w:rsid w:val="0021319F"/>
    <w:rsid w:val="002148E7"/>
    <w:rsid w:val="00214FEC"/>
    <w:rsid w:val="00215574"/>
    <w:rsid w:val="002164DF"/>
    <w:rsid w:val="00216D8D"/>
    <w:rsid w:val="00217560"/>
    <w:rsid w:val="00220366"/>
    <w:rsid w:val="002220F8"/>
    <w:rsid w:val="002228AB"/>
    <w:rsid w:val="00224511"/>
    <w:rsid w:val="00225699"/>
    <w:rsid w:val="0022575A"/>
    <w:rsid w:val="00225D84"/>
    <w:rsid w:val="002267FB"/>
    <w:rsid w:val="00227349"/>
    <w:rsid w:val="0022760F"/>
    <w:rsid w:val="00227701"/>
    <w:rsid w:val="0023020E"/>
    <w:rsid w:val="002306C3"/>
    <w:rsid w:val="00231DA5"/>
    <w:rsid w:val="002321D2"/>
    <w:rsid w:val="0023244B"/>
    <w:rsid w:val="0023289B"/>
    <w:rsid w:val="00232BA8"/>
    <w:rsid w:val="00233795"/>
    <w:rsid w:val="00233A7B"/>
    <w:rsid w:val="0023491F"/>
    <w:rsid w:val="00236234"/>
    <w:rsid w:val="0023630E"/>
    <w:rsid w:val="00236357"/>
    <w:rsid w:val="00237223"/>
    <w:rsid w:val="00242822"/>
    <w:rsid w:val="00242B75"/>
    <w:rsid w:val="00244256"/>
    <w:rsid w:val="002451A7"/>
    <w:rsid w:val="00246F1F"/>
    <w:rsid w:val="00247593"/>
    <w:rsid w:val="00250F55"/>
    <w:rsid w:val="0025140A"/>
    <w:rsid w:val="00251949"/>
    <w:rsid w:val="00251BD4"/>
    <w:rsid w:val="002525EE"/>
    <w:rsid w:val="00252CE7"/>
    <w:rsid w:val="002530E4"/>
    <w:rsid w:val="00257746"/>
    <w:rsid w:val="00260291"/>
    <w:rsid w:val="00261435"/>
    <w:rsid w:val="0026292D"/>
    <w:rsid w:val="00264C08"/>
    <w:rsid w:val="00264C6A"/>
    <w:rsid w:val="00265213"/>
    <w:rsid w:val="0026587B"/>
    <w:rsid w:val="002679AF"/>
    <w:rsid w:val="00270669"/>
    <w:rsid w:val="002708D0"/>
    <w:rsid w:val="00270EDA"/>
    <w:rsid w:val="0027129A"/>
    <w:rsid w:val="00273824"/>
    <w:rsid w:val="002746C5"/>
    <w:rsid w:val="00274FF5"/>
    <w:rsid w:val="00275357"/>
    <w:rsid w:val="00275828"/>
    <w:rsid w:val="00275D7F"/>
    <w:rsid w:val="0028024C"/>
    <w:rsid w:val="00281286"/>
    <w:rsid w:val="002818DE"/>
    <w:rsid w:val="002840DB"/>
    <w:rsid w:val="00285245"/>
    <w:rsid w:val="002878A7"/>
    <w:rsid w:val="00290003"/>
    <w:rsid w:val="002909CB"/>
    <w:rsid w:val="00290C8B"/>
    <w:rsid w:val="00291732"/>
    <w:rsid w:val="00291C95"/>
    <w:rsid w:val="00291D83"/>
    <w:rsid w:val="002928B7"/>
    <w:rsid w:val="00293338"/>
    <w:rsid w:val="00293659"/>
    <w:rsid w:val="00293A8D"/>
    <w:rsid w:val="002940ED"/>
    <w:rsid w:val="00295A2B"/>
    <w:rsid w:val="00295E23"/>
    <w:rsid w:val="002961DB"/>
    <w:rsid w:val="00296EB4"/>
    <w:rsid w:val="00297234"/>
    <w:rsid w:val="002A0589"/>
    <w:rsid w:val="002A2C4C"/>
    <w:rsid w:val="002A35BB"/>
    <w:rsid w:val="002A6281"/>
    <w:rsid w:val="002A7B49"/>
    <w:rsid w:val="002B02AE"/>
    <w:rsid w:val="002B144B"/>
    <w:rsid w:val="002B4591"/>
    <w:rsid w:val="002B49D2"/>
    <w:rsid w:val="002B4CD8"/>
    <w:rsid w:val="002B57C8"/>
    <w:rsid w:val="002B5FEC"/>
    <w:rsid w:val="002B737F"/>
    <w:rsid w:val="002B7BEF"/>
    <w:rsid w:val="002C1764"/>
    <w:rsid w:val="002C281E"/>
    <w:rsid w:val="002C4538"/>
    <w:rsid w:val="002C4E91"/>
    <w:rsid w:val="002C5409"/>
    <w:rsid w:val="002C68E0"/>
    <w:rsid w:val="002D1D73"/>
    <w:rsid w:val="002D25E5"/>
    <w:rsid w:val="002D2AAC"/>
    <w:rsid w:val="002D3C25"/>
    <w:rsid w:val="002D4BB5"/>
    <w:rsid w:val="002E02DC"/>
    <w:rsid w:val="002E1149"/>
    <w:rsid w:val="002E180E"/>
    <w:rsid w:val="002E59EB"/>
    <w:rsid w:val="002E5B22"/>
    <w:rsid w:val="002F011F"/>
    <w:rsid w:val="002F0250"/>
    <w:rsid w:val="002F04CC"/>
    <w:rsid w:val="002F12D3"/>
    <w:rsid w:val="002F15CE"/>
    <w:rsid w:val="002F16FC"/>
    <w:rsid w:val="002F29F6"/>
    <w:rsid w:val="002F2E66"/>
    <w:rsid w:val="002F362F"/>
    <w:rsid w:val="002F3746"/>
    <w:rsid w:val="002F37F0"/>
    <w:rsid w:val="002F4014"/>
    <w:rsid w:val="002F40AB"/>
    <w:rsid w:val="002F467E"/>
    <w:rsid w:val="002F56B3"/>
    <w:rsid w:val="002F79C4"/>
    <w:rsid w:val="00300A51"/>
    <w:rsid w:val="00300B7B"/>
    <w:rsid w:val="00301C5C"/>
    <w:rsid w:val="00302149"/>
    <w:rsid w:val="00302E81"/>
    <w:rsid w:val="00304505"/>
    <w:rsid w:val="003055E3"/>
    <w:rsid w:val="0030664A"/>
    <w:rsid w:val="00306EE7"/>
    <w:rsid w:val="003072DF"/>
    <w:rsid w:val="00307C22"/>
    <w:rsid w:val="00310500"/>
    <w:rsid w:val="00310A5D"/>
    <w:rsid w:val="00311343"/>
    <w:rsid w:val="00313032"/>
    <w:rsid w:val="0031353E"/>
    <w:rsid w:val="00313DE6"/>
    <w:rsid w:val="00313FF9"/>
    <w:rsid w:val="003142A1"/>
    <w:rsid w:val="003144DA"/>
    <w:rsid w:val="00314EDB"/>
    <w:rsid w:val="0031568F"/>
    <w:rsid w:val="00316868"/>
    <w:rsid w:val="003173EB"/>
    <w:rsid w:val="00320A52"/>
    <w:rsid w:val="00321048"/>
    <w:rsid w:val="003213F9"/>
    <w:rsid w:val="00321656"/>
    <w:rsid w:val="00321A40"/>
    <w:rsid w:val="003225AE"/>
    <w:rsid w:val="00322816"/>
    <w:rsid w:val="00322847"/>
    <w:rsid w:val="00323474"/>
    <w:rsid w:val="003234E2"/>
    <w:rsid w:val="00325B98"/>
    <w:rsid w:val="00325BD9"/>
    <w:rsid w:val="0032613E"/>
    <w:rsid w:val="00326885"/>
    <w:rsid w:val="00327712"/>
    <w:rsid w:val="00330CB7"/>
    <w:rsid w:val="00330FC0"/>
    <w:rsid w:val="00331EFD"/>
    <w:rsid w:val="0033241D"/>
    <w:rsid w:val="003327D6"/>
    <w:rsid w:val="00332BD1"/>
    <w:rsid w:val="00333261"/>
    <w:rsid w:val="00334344"/>
    <w:rsid w:val="00336B12"/>
    <w:rsid w:val="0034445E"/>
    <w:rsid w:val="00344E25"/>
    <w:rsid w:val="00350008"/>
    <w:rsid w:val="00350FD5"/>
    <w:rsid w:val="0035180B"/>
    <w:rsid w:val="00352116"/>
    <w:rsid w:val="00352D57"/>
    <w:rsid w:val="00353B21"/>
    <w:rsid w:val="00353CAF"/>
    <w:rsid w:val="00355130"/>
    <w:rsid w:val="003558D8"/>
    <w:rsid w:val="00355A80"/>
    <w:rsid w:val="00356110"/>
    <w:rsid w:val="00356375"/>
    <w:rsid w:val="00356466"/>
    <w:rsid w:val="00361C3E"/>
    <w:rsid w:val="00362655"/>
    <w:rsid w:val="00364B12"/>
    <w:rsid w:val="00364B9A"/>
    <w:rsid w:val="003661CD"/>
    <w:rsid w:val="00366B92"/>
    <w:rsid w:val="003673B2"/>
    <w:rsid w:val="00371400"/>
    <w:rsid w:val="00372BB6"/>
    <w:rsid w:val="00374950"/>
    <w:rsid w:val="00374F2E"/>
    <w:rsid w:val="00376FB2"/>
    <w:rsid w:val="0037767A"/>
    <w:rsid w:val="00380080"/>
    <w:rsid w:val="00380CD6"/>
    <w:rsid w:val="003823C2"/>
    <w:rsid w:val="00383F51"/>
    <w:rsid w:val="00386AB7"/>
    <w:rsid w:val="00391C1D"/>
    <w:rsid w:val="0039314B"/>
    <w:rsid w:val="00393340"/>
    <w:rsid w:val="003939E3"/>
    <w:rsid w:val="003950AB"/>
    <w:rsid w:val="00395DC8"/>
    <w:rsid w:val="00395FEB"/>
    <w:rsid w:val="003965AF"/>
    <w:rsid w:val="003968F2"/>
    <w:rsid w:val="003972D1"/>
    <w:rsid w:val="003973DD"/>
    <w:rsid w:val="003979A4"/>
    <w:rsid w:val="00397AA2"/>
    <w:rsid w:val="003A0631"/>
    <w:rsid w:val="003A07DD"/>
    <w:rsid w:val="003A2327"/>
    <w:rsid w:val="003A277D"/>
    <w:rsid w:val="003A3D68"/>
    <w:rsid w:val="003A3F4F"/>
    <w:rsid w:val="003A50F4"/>
    <w:rsid w:val="003A6127"/>
    <w:rsid w:val="003A64B5"/>
    <w:rsid w:val="003A76B8"/>
    <w:rsid w:val="003A7A7F"/>
    <w:rsid w:val="003A7D24"/>
    <w:rsid w:val="003B08AA"/>
    <w:rsid w:val="003B27E7"/>
    <w:rsid w:val="003B29FF"/>
    <w:rsid w:val="003B33AD"/>
    <w:rsid w:val="003B484B"/>
    <w:rsid w:val="003B4EDD"/>
    <w:rsid w:val="003B6A6C"/>
    <w:rsid w:val="003B6B77"/>
    <w:rsid w:val="003B6C88"/>
    <w:rsid w:val="003B7820"/>
    <w:rsid w:val="003C0AF8"/>
    <w:rsid w:val="003C0F88"/>
    <w:rsid w:val="003C33DE"/>
    <w:rsid w:val="003C4F03"/>
    <w:rsid w:val="003C6431"/>
    <w:rsid w:val="003C68EE"/>
    <w:rsid w:val="003C7061"/>
    <w:rsid w:val="003C755F"/>
    <w:rsid w:val="003C7FA9"/>
    <w:rsid w:val="003D082B"/>
    <w:rsid w:val="003D10D9"/>
    <w:rsid w:val="003D1899"/>
    <w:rsid w:val="003D26F2"/>
    <w:rsid w:val="003D31F4"/>
    <w:rsid w:val="003D4522"/>
    <w:rsid w:val="003D4BB0"/>
    <w:rsid w:val="003D5EEE"/>
    <w:rsid w:val="003D5F28"/>
    <w:rsid w:val="003E025F"/>
    <w:rsid w:val="003E1659"/>
    <w:rsid w:val="003E1983"/>
    <w:rsid w:val="003E254F"/>
    <w:rsid w:val="003E436C"/>
    <w:rsid w:val="003E45AA"/>
    <w:rsid w:val="003E46DA"/>
    <w:rsid w:val="003E4E83"/>
    <w:rsid w:val="003E5117"/>
    <w:rsid w:val="003E590F"/>
    <w:rsid w:val="003E6F68"/>
    <w:rsid w:val="003E79A5"/>
    <w:rsid w:val="003E7B5D"/>
    <w:rsid w:val="003F0D00"/>
    <w:rsid w:val="003F0D93"/>
    <w:rsid w:val="003F164B"/>
    <w:rsid w:val="003F2AE4"/>
    <w:rsid w:val="003F5BD3"/>
    <w:rsid w:val="003F5CDE"/>
    <w:rsid w:val="003F601E"/>
    <w:rsid w:val="003F6B6D"/>
    <w:rsid w:val="003F746F"/>
    <w:rsid w:val="003F769C"/>
    <w:rsid w:val="00400367"/>
    <w:rsid w:val="004005B4"/>
    <w:rsid w:val="00400EE8"/>
    <w:rsid w:val="00401180"/>
    <w:rsid w:val="004013CC"/>
    <w:rsid w:val="00401972"/>
    <w:rsid w:val="00401A44"/>
    <w:rsid w:val="00404931"/>
    <w:rsid w:val="00404EE2"/>
    <w:rsid w:val="00404FA0"/>
    <w:rsid w:val="004065CA"/>
    <w:rsid w:val="00410769"/>
    <w:rsid w:val="00410B2E"/>
    <w:rsid w:val="00412F88"/>
    <w:rsid w:val="004155CB"/>
    <w:rsid w:val="004158FD"/>
    <w:rsid w:val="00416286"/>
    <w:rsid w:val="0041675E"/>
    <w:rsid w:val="004170C7"/>
    <w:rsid w:val="004171D0"/>
    <w:rsid w:val="0041780D"/>
    <w:rsid w:val="00417FE8"/>
    <w:rsid w:val="00417FF0"/>
    <w:rsid w:val="00420E19"/>
    <w:rsid w:val="00420E1C"/>
    <w:rsid w:val="00421206"/>
    <w:rsid w:val="0042137F"/>
    <w:rsid w:val="0042147D"/>
    <w:rsid w:val="004218DF"/>
    <w:rsid w:val="0042210D"/>
    <w:rsid w:val="00422D88"/>
    <w:rsid w:val="0042508D"/>
    <w:rsid w:val="004254B7"/>
    <w:rsid w:val="00425FCA"/>
    <w:rsid w:val="004272B5"/>
    <w:rsid w:val="00427B1C"/>
    <w:rsid w:val="00433CFD"/>
    <w:rsid w:val="00433E6B"/>
    <w:rsid w:val="00436722"/>
    <w:rsid w:val="00436F53"/>
    <w:rsid w:val="004400F6"/>
    <w:rsid w:val="00440282"/>
    <w:rsid w:val="00440824"/>
    <w:rsid w:val="00441CFD"/>
    <w:rsid w:val="00441DE2"/>
    <w:rsid w:val="00442164"/>
    <w:rsid w:val="0044249F"/>
    <w:rsid w:val="004425C3"/>
    <w:rsid w:val="00444868"/>
    <w:rsid w:val="00445203"/>
    <w:rsid w:val="00447050"/>
    <w:rsid w:val="00450423"/>
    <w:rsid w:val="00451F72"/>
    <w:rsid w:val="0045599B"/>
    <w:rsid w:val="0046006E"/>
    <w:rsid w:val="004604C8"/>
    <w:rsid w:val="004628EB"/>
    <w:rsid w:val="00463941"/>
    <w:rsid w:val="0046523D"/>
    <w:rsid w:val="0046529D"/>
    <w:rsid w:val="004656C8"/>
    <w:rsid w:val="00465D5E"/>
    <w:rsid w:val="00466B4E"/>
    <w:rsid w:val="00470176"/>
    <w:rsid w:val="00470E41"/>
    <w:rsid w:val="0047150D"/>
    <w:rsid w:val="00472657"/>
    <w:rsid w:val="0047299D"/>
    <w:rsid w:val="0047325C"/>
    <w:rsid w:val="00473626"/>
    <w:rsid w:val="0047573F"/>
    <w:rsid w:val="00475E9E"/>
    <w:rsid w:val="0048066B"/>
    <w:rsid w:val="00481E88"/>
    <w:rsid w:val="0048378F"/>
    <w:rsid w:val="00484709"/>
    <w:rsid w:val="00487139"/>
    <w:rsid w:val="004876B5"/>
    <w:rsid w:val="00492561"/>
    <w:rsid w:val="00493A5F"/>
    <w:rsid w:val="00495568"/>
    <w:rsid w:val="00497925"/>
    <w:rsid w:val="004A08CA"/>
    <w:rsid w:val="004A0B0B"/>
    <w:rsid w:val="004A0D5B"/>
    <w:rsid w:val="004A153B"/>
    <w:rsid w:val="004A2898"/>
    <w:rsid w:val="004A3331"/>
    <w:rsid w:val="004A34AF"/>
    <w:rsid w:val="004A434E"/>
    <w:rsid w:val="004A54A5"/>
    <w:rsid w:val="004A566D"/>
    <w:rsid w:val="004A65E5"/>
    <w:rsid w:val="004A6C27"/>
    <w:rsid w:val="004A7384"/>
    <w:rsid w:val="004B01AA"/>
    <w:rsid w:val="004B1F2F"/>
    <w:rsid w:val="004B27A6"/>
    <w:rsid w:val="004B27CA"/>
    <w:rsid w:val="004B2E90"/>
    <w:rsid w:val="004B3632"/>
    <w:rsid w:val="004B48D1"/>
    <w:rsid w:val="004B7987"/>
    <w:rsid w:val="004B7D3B"/>
    <w:rsid w:val="004C002A"/>
    <w:rsid w:val="004C0BF6"/>
    <w:rsid w:val="004C16DB"/>
    <w:rsid w:val="004C1950"/>
    <w:rsid w:val="004C246B"/>
    <w:rsid w:val="004C2F67"/>
    <w:rsid w:val="004C32FA"/>
    <w:rsid w:val="004D0844"/>
    <w:rsid w:val="004D211C"/>
    <w:rsid w:val="004D2475"/>
    <w:rsid w:val="004D50A7"/>
    <w:rsid w:val="004D74B8"/>
    <w:rsid w:val="004E12B4"/>
    <w:rsid w:val="004E2918"/>
    <w:rsid w:val="004E589F"/>
    <w:rsid w:val="004E5B26"/>
    <w:rsid w:val="004E746D"/>
    <w:rsid w:val="004E776A"/>
    <w:rsid w:val="004F0427"/>
    <w:rsid w:val="004F0543"/>
    <w:rsid w:val="004F0A90"/>
    <w:rsid w:val="004F17D4"/>
    <w:rsid w:val="004F3E5C"/>
    <w:rsid w:val="004F48F1"/>
    <w:rsid w:val="004F6102"/>
    <w:rsid w:val="004F6856"/>
    <w:rsid w:val="004F730A"/>
    <w:rsid w:val="0050092C"/>
    <w:rsid w:val="005009FF"/>
    <w:rsid w:val="00502A41"/>
    <w:rsid w:val="00503041"/>
    <w:rsid w:val="005056FF"/>
    <w:rsid w:val="005058F5"/>
    <w:rsid w:val="00507394"/>
    <w:rsid w:val="00507EAA"/>
    <w:rsid w:val="00510DCF"/>
    <w:rsid w:val="005118F1"/>
    <w:rsid w:val="00511A98"/>
    <w:rsid w:val="00511DC2"/>
    <w:rsid w:val="005145F2"/>
    <w:rsid w:val="005164F3"/>
    <w:rsid w:val="005222FB"/>
    <w:rsid w:val="00522DD1"/>
    <w:rsid w:val="00527049"/>
    <w:rsid w:val="00527F0D"/>
    <w:rsid w:val="0053063E"/>
    <w:rsid w:val="00530D24"/>
    <w:rsid w:val="005311F9"/>
    <w:rsid w:val="00531FDF"/>
    <w:rsid w:val="00532129"/>
    <w:rsid w:val="00535052"/>
    <w:rsid w:val="0053644B"/>
    <w:rsid w:val="00537406"/>
    <w:rsid w:val="00537F37"/>
    <w:rsid w:val="00540E45"/>
    <w:rsid w:val="0054189D"/>
    <w:rsid w:val="0054258C"/>
    <w:rsid w:val="0054308E"/>
    <w:rsid w:val="0054330E"/>
    <w:rsid w:val="005461E0"/>
    <w:rsid w:val="00546A76"/>
    <w:rsid w:val="00546AB4"/>
    <w:rsid w:val="00547805"/>
    <w:rsid w:val="00550847"/>
    <w:rsid w:val="0055126F"/>
    <w:rsid w:val="00552428"/>
    <w:rsid w:val="00552514"/>
    <w:rsid w:val="005529A8"/>
    <w:rsid w:val="00553DE1"/>
    <w:rsid w:val="005541A9"/>
    <w:rsid w:val="00554623"/>
    <w:rsid w:val="00557A73"/>
    <w:rsid w:val="005607C5"/>
    <w:rsid w:val="0056152F"/>
    <w:rsid w:val="00563914"/>
    <w:rsid w:val="0056428B"/>
    <w:rsid w:val="00566E14"/>
    <w:rsid w:val="005670F6"/>
    <w:rsid w:val="005723F7"/>
    <w:rsid w:val="005724F2"/>
    <w:rsid w:val="00573F80"/>
    <w:rsid w:val="0057492C"/>
    <w:rsid w:val="00575454"/>
    <w:rsid w:val="00575D33"/>
    <w:rsid w:val="00583031"/>
    <w:rsid w:val="005832BD"/>
    <w:rsid w:val="00585014"/>
    <w:rsid w:val="00587E35"/>
    <w:rsid w:val="00590B4A"/>
    <w:rsid w:val="00590D22"/>
    <w:rsid w:val="00591191"/>
    <w:rsid w:val="00591264"/>
    <w:rsid w:val="005919AF"/>
    <w:rsid w:val="00592C1D"/>
    <w:rsid w:val="00593982"/>
    <w:rsid w:val="00593B85"/>
    <w:rsid w:val="00593EC6"/>
    <w:rsid w:val="00594469"/>
    <w:rsid w:val="005945E8"/>
    <w:rsid w:val="00595046"/>
    <w:rsid w:val="005A2138"/>
    <w:rsid w:val="005A32A1"/>
    <w:rsid w:val="005A460D"/>
    <w:rsid w:val="005A4B8F"/>
    <w:rsid w:val="005A4F13"/>
    <w:rsid w:val="005A5531"/>
    <w:rsid w:val="005A6FDC"/>
    <w:rsid w:val="005A776E"/>
    <w:rsid w:val="005B0393"/>
    <w:rsid w:val="005B0479"/>
    <w:rsid w:val="005B2032"/>
    <w:rsid w:val="005B268C"/>
    <w:rsid w:val="005B2D59"/>
    <w:rsid w:val="005B31CC"/>
    <w:rsid w:val="005B3D95"/>
    <w:rsid w:val="005B45F8"/>
    <w:rsid w:val="005B514A"/>
    <w:rsid w:val="005B6BD6"/>
    <w:rsid w:val="005C0387"/>
    <w:rsid w:val="005C0751"/>
    <w:rsid w:val="005C2E97"/>
    <w:rsid w:val="005C34DB"/>
    <w:rsid w:val="005C4EDF"/>
    <w:rsid w:val="005C5E42"/>
    <w:rsid w:val="005C719E"/>
    <w:rsid w:val="005C7B9D"/>
    <w:rsid w:val="005C7EDC"/>
    <w:rsid w:val="005D106D"/>
    <w:rsid w:val="005D1F5C"/>
    <w:rsid w:val="005D34AC"/>
    <w:rsid w:val="005D36D1"/>
    <w:rsid w:val="005D37BA"/>
    <w:rsid w:val="005D38BD"/>
    <w:rsid w:val="005D3AC5"/>
    <w:rsid w:val="005D43D3"/>
    <w:rsid w:val="005D5EAE"/>
    <w:rsid w:val="005D6F50"/>
    <w:rsid w:val="005E03C9"/>
    <w:rsid w:val="005E09F5"/>
    <w:rsid w:val="005E5025"/>
    <w:rsid w:val="005E5E91"/>
    <w:rsid w:val="005F08CB"/>
    <w:rsid w:val="005F0E20"/>
    <w:rsid w:val="005F3431"/>
    <w:rsid w:val="005F351F"/>
    <w:rsid w:val="005F3797"/>
    <w:rsid w:val="005F3D94"/>
    <w:rsid w:val="005F3EA6"/>
    <w:rsid w:val="005F741D"/>
    <w:rsid w:val="006013ED"/>
    <w:rsid w:val="0060176D"/>
    <w:rsid w:val="00602225"/>
    <w:rsid w:val="006028E6"/>
    <w:rsid w:val="00602A9D"/>
    <w:rsid w:val="0060418C"/>
    <w:rsid w:val="0060610F"/>
    <w:rsid w:val="006074D1"/>
    <w:rsid w:val="00611E64"/>
    <w:rsid w:val="00611F19"/>
    <w:rsid w:val="00612219"/>
    <w:rsid w:val="0061453A"/>
    <w:rsid w:val="00614BC5"/>
    <w:rsid w:val="00615DC6"/>
    <w:rsid w:val="00621273"/>
    <w:rsid w:val="00621A93"/>
    <w:rsid w:val="00622DCF"/>
    <w:rsid w:val="00623468"/>
    <w:rsid w:val="0062353E"/>
    <w:rsid w:val="00624CF2"/>
    <w:rsid w:val="00625EA1"/>
    <w:rsid w:val="00626D52"/>
    <w:rsid w:val="00627CC8"/>
    <w:rsid w:val="0063180C"/>
    <w:rsid w:val="00631FEB"/>
    <w:rsid w:val="00634A89"/>
    <w:rsid w:val="00636586"/>
    <w:rsid w:val="00640009"/>
    <w:rsid w:val="00640041"/>
    <w:rsid w:val="0064090C"/>
    <w:rsid w:val="00641631"/>
    <w:rsid w:val="00642434"/>
    <w:rsid w:val="00642A42"/>
    <w:rsid w:val="006436AF"/>
    <w:rsid w:val="00643E7D"/>
    <w:rsid w:val="006446E4"/>
    <w:rsid w:val="00646DEB"/>
    <w:rsid w:val="006508EE"/>
    <w:rsid w:val="006519AC"/>
    <w:rsid w:val="00651B51"/>
    <w:rsid w:val="00652CD1"/>
    <w:rsid w:val="00653D59"/>
    <w:rsid w:val="006569E5"/>
    <w:rsid w:val="00657035"/>
    <w:rsid w:val="00657F17"/>
    <w:rsid w:val="00661435"/>
    <w:rsid w:val="00661911"/>
    <w:rsid w:val="006619D6"/>
    <w:rsid w:val="00663341"/>
    <w:rsid w:val="006637C3"/>
    <w:rsid w:val="00663A0B"/>
    <w:rsid w:val="00663F6D"/>
    <w:rsid w:val="00663FE3"/>
    <w:rsid w:val="006641B3"/>
    <w:rsid w:val="006662F0"/>
    <w:rsid w:val="00667A90"/>
    <w:rsid w:val="006714FE"/>
    <w:rsid w:val="00672523"/>
    <w:rsid w:val="00673264"/>
    <w:rsid w:val="00682459"/>
    <w:rsid w:val="00684446"/>
    <w:rsid w:val="00685538"/>
    <w:rsid w:val="006870B7"/>
    <w:rsid w:val="00687670"/>
    <w:rsid w:val="00690096"/>
    <w:rsid w:val="00691CC7"/>
    <w:rsid w:val="006926FA"/>
    <w:rsid w:val="006933A7"/>
    <w:rsid w:val="00693506"/>
    <w:rsid w:val="00693F75"/>
    <w:rsid w:val="0069482F"/>
    <w:rsid w:val="00694A62"/>
    <w:rsid w:val="00696C5D"/>
    <w:rsid w:val="00697240"/>
    <w:rsid w:val="006A0B31"/>
    <w:rsid w:val="006A10CA"/>
    <w:rsid w:val="006A2A77"/>
    <w:rsid w:val="006A2D25"/>
    <w:rsid w:val="006A4EE0"/>
    <w:rsid w:val="006A56A7"/>
    <w:rsid w:val="006A5B18"/>
    <w:rsid w:val="006A5E58"/>
    <w:rsid w:val="006A6A70"/>
    <w:rsid w:val="006A70C2"/>
    <w:rsid w:val="006A7527"/>
    <w:rsid w:val="006A7909"/>
    <w:rsid w:val="006A7AEC"/>
    <w:rsid w:val="006B1288"/>
    <w:rsid w:val="006B1FA1"/>
    <w:rsid w:val="006B2D54"/>
    <w:rsid w:val="006B4063"/>
    <w:rsid w:val="006B5B83"/>
    <w:rsid w:val="006B6E25"/>
    <w:rsid w:val="006B6E45"/>
    <w:rsid w:val="006B7230"/>
    <w:rsid w:val="006B7D58"/>
    <w:rsid w:val="006C0A40"/>
    <w:rsid w:val="006C0BDC"/>
    <w:rsid w:val="006C13FD"/>
    <w:rsid w:val="006C1B0E"/>
    <w:rsid w:val="006C237E"/>
    <w:rsid w:val="006C32BC"/>
    <w:rsid w:val="006C4E19"/>
    <w:rsid w:val="006C56C2"/>
    <w:rsid w:val="006C5B2C"/>
    <w:rsid w:val="006C6771"/>
    <w:rsid w:val="006C704F"/>
    <w:rsid w:val="006D052F"/>
    <w:rsid w:val="006D3DDE"/>
    <w:rsid w:val="006D6333"/>
    <w:rsid w:val="006D6DF6"/>
    <w:rsid w:val="006D7B13"/>
    <w:rsid w:val="006E1498"/>
    <w:rsid w:val="006E14D2"/>
    <w:rsid w:val="006E2228"/>
    <w:rsid w:val="006E308A"/>
    <w:rsid w:val="006E30EC"/>
    <w:rsid w:val="006E33ED"/>
    <w:rsid w:val="006E38D8"/>
    <w:rsid w:val="006E4700"/>
    <w:rsid w:val="006E56B5"/>
    <w:rsid w:val="006F069C"/>
    <w:rsid w:val="006F285B"/>
    <w:rsid w:val="006F3D89"/>
    <w:rsid w:val="006F3E87"/>
    <w:rsid w:val="006F4041"/>
    <w:rsid w:val="0070140D"/>
    <w:rsid w:val="0070190C"/>
    <w:rsid w:val="00701B0C"/>
    <w:rsid w:val="0070200F"/>
    <w:rsid w:val="007029CA"/>
    <w:rsid w:val="00704F49"/>
    <w:rsid w:val="00705ACD"/>
    <w:rsid w:val="00705B40"/>
    <w:rsid w:val="00705E13"/>
    <w:rsid w:val="00706FF6"/>
    <w:rsid w:val="0071041B"/>
    <w:rsid w:val="00710552"/>
    <w:rsid w:val="00710638"/>
    <w:rsid w:val="00710DD6"/>
    <w:rsid w:val="00711BB3"/>
    <w:rsid w:val="00711ED5"/>
    <w:rsid w:val="007138D0"/>
    <w:rsid w:val="00715D61"/>
    <w:rsid w:val="00716EDB"/>
    <w:rsid w:val="00717DF4"/>
    <w:rsid w:val="00720C6B"/>
    <w:rsid w:val="00720FFA"/>
    <w:rsid w:val="00721D65"/>
    <w:rsid w:val="007221CD"/>
    <w:rsid w:val="0072360F"/>
    <w:rsid w:val="00725866"/>
    <w:rsid w:val="00727597"/>
    <w:rsid w:val="0072797A"/>
    <w:rsid w:val="00727AB2"/>
    <w:rsid w:val="00730B4C"/>
    <w:rsid w:val="00731056"/>
    <w:rsid w:val="00732A12"/>
    <w:rsid w:val="007342E1"/>
    <w:rsid w:val="00735475"/>
    <w:rsid w:val="00735AE1"/>
    <w:rsid w:val="00735C83"/>
    <w:rsid w:val="00736D36"/>
    <w:rsid w:val="00736E60"/>
    <w:rsid w:val="00737D33"/>
    <w:rsid w:val="00737F3E"/>
    <w:rsid w:val="007404F2"/>
    <w:rsid w:val="007424E9"/>
    <w:rsid w:val="007436D8"/>
    <w:rsid w:val="00743745"/>
    <w:rsid w:val="00745249"/>
    <w:rsid w:val="00747125"/>
    <w:rsid w:val="007475E2"/>
    <w:rsid w:val="00750826"/>
    <w:rsid w:val="0075210D"/>
    <w:rsid w:val="0075233B"/>
    <w:rsid w:val="0075312F"/>
    <w:rsid w:val="007534F7"/>
    <w:rsid w:val="00753769"/>
    <w:rsid w:val="007539C4"/>
    <w:rsid w:val="007546AD"/>
    <w:rsid w:val="007550C0"/>
    <w:rsid w:val="0075617C"/>
    <w:rsid w:val="007607B9"/>
    <w:rsid w:val="00760CE7"/>
    <w:rsid w:val="00762725"/>
    <w:rsid w:val="00762DFB"/>
    <w:rsid w:val="00762F6D"/>
    <w:rsid w:val="007639F2"/>
    <w:rsid w:val="0076462B"/>
    <w:rsid w:val="007647A5"/>
    <w:rsid w:val="0076541C"/>
    <w:rsid w:val="0076622C"/>
    <w:rsid w:val="007667BF"/>
    <w:rsid w:val="007672A6"/>
    <w:rsid w:val="0076736C"/>
    <w:rsid w:val="00767F95"/>
    <w:rsid w:val="007712B1"/>
    <w:rsid w:val="00772B7E"/>
    <w:rsid w:val="00773687"/>
    <w:rsid w:val="00773B0E"/>
    <w:rsid w:val="00773FA7"/>
    <w:rsid w:val="00773FF8"/>
    <w:rsid w:val="0077465F"/>
    <w:rsid w:val="007778C2"/>
    <w:rsid w:val="007805FA"/>
    <w:rsid w:val="00780C8D"/>
    <w:rsid w:val="00781822"/>
    <w:rsid w:val="00781B85"/>
    <w:rsid w:val="00782314"/>
    <w:rsid w:val="007831E8"/>
    <w:rsid w:val="007833F9"/>
    <w:rsid w:val="0078475C"/>
    <w:rsid w:val="0079076A"/>
    <w:rsid w:val="00791408"/>
    <w:rsid w:val="007914DD"/>
    <w:rsid w:val="00792D6D"/>
    <w:rsid w:val="007965A0"/>
    <w:rsid w:val="00796BB2"/>
    <w:rsid w:val="00796C5E"/>
    <w:rsid w:val="00796DF0"/>
    <w:rsid w:val="00797ED5"/>
    <w:rsid w:val="007A20D4"/>
    <w:rsid w:val="007A2157"/>
    <w:rsid w:val="007A27A2"/>
    <w:rsid w:val="007A40BE"/>
    <w:rsid w:val="007A4513"/>
    <w:rsid w:val="007A50AB"/>
    <w:rsid w:val="007A5229"/>
    <w:rsid w:val="007A5A40"/>
    <w:rsid w:val="007A5C68"/>
    <w:rsid w:val="007B05E5"/>
    <w:rsid w:val="007B21E8"/>
    <w:rsid w:val="007B4823"/>
    <w:rsid w:val="007B48B3"/>
    <w:rsid w:val="007B5207"/>
    <w:rsid w:val="007B57D2"/>
    <w:rsid w:val="007C0588"/>
    <w:rsid w:val="007C2409"/>
    <w:rsid w:val="007C3538"/>
    <w:rsid w:val="007C3FFA"/>
    <w:rsid w:val="007C4302"/>
    <w:rsid w:val="007C5220"/>
    <w:rsid w:val="007C5DC9"/>
    <w:rsid w:val="007C629D"/>
    <w:rsid w:val="007D10DA"/>
    <w:rsid w:val="007D206C"/>
    <w:rsid w:val="007D2162"/>
    <w:rsid w:val="007D2344"/>
    <w:rsid w:val="007D2D5B"/>
    <w:rsid w:val="007D2F1A"/>
    <w:rsid w:val="007D3121"/>
    <w:rsid w:val="007D3A30"/>
    <w:rsid w:val="007D53B6"/>
    <w:rsid w:val="007D5550"/>
    <w:rsid w:val="007D6251"/>
    <w:rsid w:val="007D7959"/>
    <w:rsid w:val="007D7EB0"/>
    <w:rsid w:val="007E170E"/>
    <w:rsid w:val="007E2CBF"/>
    <w:rsid w:val="007E5473"/>
    <w:rsid w:val="007E5767"/>
    <w:rsid w:val="007E6B52"/>
    <w:rsid w:val="007E71D0"/>
    <w:rsid w:val="007E7348"/>
    <w:rsid w:val="007E736F"/>
    <w:rsid w:val="007E74FE"/>
    <w:rsid w:val="007E75E1"/>
    <w:rsid w:val="007F09FE"/>
    <w:rsid w:val="007F1B70"/>
    <w:rsid w:val="007F3DA5"/>
    <w:rsid w:val="007F4717"/>
    <w:rsid w:val="007F55F7"/>
    <w:rsid w:val="007F6332"/>
    <w:rsid w:val="008005C7"/>
    <w:rsid w:val="00800B20"/>
    <w:rsid w:val="008024AA"/>
    <w:rsid w:val="00803388"/>
    <w:rsid w:val="008036D3"/>
    <w:rsid w:val="00804A13"/>
    <w:rsid w:val="00805AB2"/>
    <w:rsid w:val="0080665E"/>
    <w:rsid w:val="00806891"/>
    <w:rsid w:val="00806ABF"/>
    <w:rsid w:val="008070B3"/>
    <w:rsid w:val="00807211"/>
    <w:rsid w:val="00810EB4"/>
    <w:rsid w:val="008123EE"/>
    <w:rsid w:val="008145CF"/>
    <w:rsid w:val="00814957"/>
    <w:rsid w:val="00815360"/>
    <w:rsid w:val="00816079"/>
    <w:rsid w:val="00816BB0"/>
    <w:rsid w:val="00816FB5"/>
    <w:rsid w:val="008174CA"/>
    <w:rsid w:val="008174F0"/>
    <w:rsid w:val="00822F26"/>
    <w:rsid w:val="00830BCF"/>
    <w:rsid w:val="00832E0A"/>
    <w:rsid w:val="00832ED4"/>
    <w:rsid w:val="00833791"/>
    <w:rsid w:val="00834691"/>
    <w:rsid w:val="00834BA1"/>
    <w:rsid w:val="00836A01"/>
    <w:rsid w:val="00837722"/>
    <w:rsid w:val="00837A5D"/>
    <w:rsid w:val="00837F4D"/>
    <w:rsid w:val="00840209"/>
    <w:rsid w:val="008432D8"/>
    <w:rsid w:val="00843CFD"/>
    <w:rsid w:val="008449EE"/>
    <w:rsid w:val="00844FAB"/>
    <w:rsid w:val="00845424"/>
    <w:rsid w:val="00845E3A"/>
    <w:rsid w:val="0084600C"/>
    <w:rsid w:val="00846693"/>
    <w:rsid w:val="00846F06"/>
    <w:rsid w:val="008475E1"/>
    <w:rsid w:val="00847DAA"/>
    <w:rsid w:val="00854221"/>
    <w:rsid w:val="00854263"/>
    <w:rsid w:val="008550C8"/>
    <w:rsid w:val="00857165"/>
    <w:rsid w:val="00862060"/>
    <w:rsid w:val="00863A4D"/>
    <w:rsid w:val="0086486C"/>
    <w:rsid w:val="008654F8"/>
    <w:rsid w:val="00865953"/>
    <w:rsid w:val="00865A40"/>
    <w:rsid w:val="00867409"/>
    <w:rsid w:val="00867CF2"/>
    <w:rsid w:val="00870B4E"/>
    <w:rsid w:val="00872629"/>
    <w:rsid w:val="00872D4B"/>
    <w:rsid w:val="00872F75"/>
    <w:rsid w:val="008754D6"/>
    <w:rsid w:val="008756D3"/>
    <w:rsid w:val="00875D2E"/>
    <w:rsid w:val="008760FE"/>
    <w:rsid w:val="008769F1"/>
    <w:rsid w:val="0087715C"/>
    <w:rsid w:val="008813CC"/>
    <w:rsid w:val="008816F8"/>
    <w:rsid w:val="008831DC"/>
    <w:rsid w:val="00883909"/>
    <w:rsid w:val="00884842"/>
    <w:rsid w:val="00884AA6"/>
    <w:rsid w:val="00885225"/>
    <w:rsid w:val="00885855"/>
    <w:rsid w:val="00885E80"/>
    <w:rsid w:val="00885F74"/>
    <w:rsid w:val="008868AB"/>
    <w:rsid w:val="00887285"/>
    <w:rsid w:val="00890459"/>
    <w:rsid w:val="008909DE"/>
    <w:rsid w:val="00890CA6"/>
    <w:rsid w:val="00893119"/>
    <w:rsid w:val="008951B5"/>
    <w:rsid w:val="008954EC"/>
    <w:rsid w:val="0089792B"/>
    <w:rsid w:val="00897DC2"/>
    <w:rsid w:val="008A1D4B"/>
    <w:rsid w:val="008A2697"/>
    <w:rsid w:val="008A278C"/>
    <w:rsid w:val="008A2CEB"/>
    <w:rsid w:val="008A3611"/>
    <w:rsid w:val="008A49B5"/>
    <w:rsid w:val="008A7327"/>
    <w:rsid w:val="008B0B8F"/>
    <w:rsid w:val="008B2F33"/>
    <w:rsid w:val="008B382E"/>
    <w:rsid w:val="008B4B8D"/>
    <w:rsid w:val="008B4CBF"/>
    <w:rsid w:val="008B54B1"/>
    <w:rsid w:val="008B5722"/>
    <w:rsid w:val="008B572A"/>
    <w:rsid w:val="008B592B"/>
    <w:rsid w:val="008B5CD9"/>
    <w:rsid w:val="008C0184"/>
    <w:rsid w:val="008C089D"/>
    <w:rsid w:val="008C0CC4"/>
    <w:rsid w:val="008C2A54"/>
    <w:rsid w:val="008C544C"/>
    <w:rsid w:val="008C6468"/>
    <w:rsid w:val="008C6AA5"/>
    <w:rsid w:val="008C6BF4"/>
    <w:rsid w:val="008C6FF8"/>
    <w:rsid w:val="008C7AB7"/>
    <w:rsid w:val="008D0FC8"/>
    <w:rsid w:val="008D1DC9"/>
    <w:rsid w:val="008D1E2B"/>
    <w:rsid w:val="008D208E"/>
    <w:rsid w:val="008D2D35"/>
    <w:rsid w:val="008D3225"/>
    <w:rsid w:val="008D5419"/>
    <w:rsid w:val="008D55CC"/>
    <w:rsid w:val="008D73F3"/>
    <w:rsid w:val="008E0004"/>
    <w:rsid w:val="008E16A9"/>
    <w:rsid w:val="008E274C"/>
    <w:rsid w:val="008E2CC0"/>
    <w:rsid w:val="008E3332"/>
    <w:rsid w:val="008E5F39"/>
    <w:rsid w:val="008E6612"/>
    <w:rsid w:val="008E661D"/>
    <w:rsid w:val="008E6C9F"/>
    <w:rsid w:val="008E7C67"/>
    <w:rsid w:val="008F1623"/>
    <w:rsid w:val="008F26E4"/>
    <w:rsid w:val="008F43E8"/>
    <w:rsid w:val="008F5631"/>
    <w:rsid w:val="008F585E"/>
    <w:rsid w:val="008F60DB"/>
    <w:rsid w:val="008F63B0"/>
    <w:rsid w:val="008F725F"/>
    <w:rsid w:val="008F72BF"/>
    <w:rsid w:val="008F777F"/>
    <w:rsid w:val="008F77D6"/>
    <w:rsid w:val="00901567"/>
    <w:rsid w:val="009019CF"/>
    <w:rsid w:val="00901C6B"/>
    <w:rsid w:val="00902BCB"/>
    <w:rsid w:val="00903139"/>
    <w:rsid w:val="00903880"/>
    <w:rsid w:val="0090499A"/>
    <w:rsid w:val="00904A9C"/>
    <w:rsid w:val="00904B8E"/>
    <w:rsid w:val="00906D44"/>
    <w:rsid w:val="009075AC"/>
    <w:rsid w:val="00911625"/>
    <w:rsid w:val="00912C1F"/>
    <w:rsid w:val="00912ED9"/>
    <w:rsid w:val="009159B6"/>
    <w:rsid w:val="009163FB"/>
    <w:rsid w:val="00920560"/>
    <w:rsid w:val="00920CB0"/>
    <w:rsid w:val="009222D2"/>
    <w:rsid w:val="00923851"/>
    <w:rsid w:val="00923D70"/>
    <w:rsid w:val="0092598F"/>
    <w:rsid w:val="0093016A"/>
    <w:rsid w:val="009309E9"/>
    <w:rsid w:val="00930D35"/>
    <w:rsid w:val="00930EA0"/>
    <w:rsid w:val="00932528"/>
    <w:rsid w:val="00933C78"/>
    <w:rsid w:val="00933D08"/>
    <w:rsid w:val="0094010B"/>
    <w:rsid w:val="0094120E"/>
    <w:rsid w:val="00941508"/>
    <w:rsid w:val="00941780"/>
    <w:rsid w:val="00941BDD"/>
    <w:rsid w:val="009421EE"/>
    <w:rsid w:val="00942B0C"/>
    <w:rsid w:val="00942B21"/>
    <w:rsid w:val="00943875"/>
    <w:rsid w:val="009447BB"/>
    <w:rsid w:val="00944E99"/>
    <w:rsid w:val="00945800"/>
    <w:rsid w:val="00946FD8"/>
    <w:rsid w:val="009474A1"/>
    <w:rsid w:val="009502B2"/>
    <w:rsid w:val="00950862"/>
    <w:rsid w:val="00950EFF"/>
    <w:rsid w:val="00951369"/>
    <w:rsid w:val="00952F52"/>
    <w:rsid w:val="00953228"/>
    <w:rsid w:val="009536F9"/>
    <w:rsid w:val="00953B25"/>
    <w:rsid w:val="0095416E"/>
    <w:rsid w:val="009541D7"/>
    <w:rsid w:val="0095469A"/>
    <w:rsid w:val="00954715"/>
    <w:rsid w:val="00955B7C"/>
    <w:rsid w:val="00957357"/>
    <w:rsid w:val="0095778B"/>
    <w:rsid w:val="00960227"/>
    <w:rsid w:val="0096423A"/>
    <w:rsid w:val="0096590D"/>
    <w:rsid w:val="00966048"/>
    <w:rsid w:val="009700DD"/>
    <w:rsid w:val="0097236D"/>
    <w:rsid w:val="009739CF"/>
    <w:rsid w:val="00973C39"/>
    <w:rsid w:val="00974FE7"/>
    <w:rsid w:val="00975AB4"/>
    <w:rsid w:val="00975E90"/>
    <w:rsid w:val="00976658"/>
    <w:rsid w:val="00977777"/>
    <w:rsid w:val="009777F6"/>
    <w:rsid w:val="00980FD3"/>
    <w:rsid w:val="00981B73"/>
    <w:rsid w:val="00982105"/>
    <w:rsid w:val="009837E1"/>
    <w:rsid w:val="009837F6"/>
    <w:rsid w:val="009865EE"/>
    <w:rsid w:val="009867AD"/>
    <w:rsid w:val="00987491"/>
    <w:rsid w:val="00991843"/>
    <w:rsid w:val="009934A2"/>
    <w:rsid w:val="00994264"/>
    <w:rsid w:val="0099462D"/>
    <w:rsid w:val="00994FCC"/>
    <w:rsid w:val="009955E2"/>
    <w:rsid w:val="00997080"/>
    <w:rsid w:val="009971BA"/>
    <w:rsid w:val="009972D1"/>
    <w:rsid w:val="009A0AFC"/>
    <w:rsid w:val="009A1F55"/>
    <w:rsid w:val="009A1FC5"/>
    <w:rsid w:val="009A2275"/>
    <w:rsid w:val="009A3B05"/>
    <w:rsid w:val="009A41D5"/>
    <w:rsid w:val="009A47C9"/>
    <w:rsid w:val="009A4A51"/>
    <w:rsid w:val="009A4DA0"/>
    <w:rsid w:val="009A588E"/>
    <w:rsid w:val="009A5CC7"/>
    <w:rsid w:val="009A69D1"/>
    <w:rsid w:val="009A6CEF"/>
    <w:rsid w:val="009A7939"/>
    <w:rsid w:val="009B1C9C"/>
    <w:rsid w:val="009B214A"/>
    <w:rsid w:val="009B2295"/>
    <w:rsid w:val="009B2D2B"/>
    <w:rsid w:val="009B37D7"/>
    <w:rsid w:val="009B4264"/>
    <w:rsid w:val="009B488D"/>
    <w:rsid w:val="009B5080"/>
    <w:rsid w:val="009B5548"/>
    <w:rsid w:val="009B6F44"/>
    <w:rsid w:val="009C1A89"/>
    <w:rsid w:val="009C2531"/>
    <w:rsid w:val="009C350F"/>
    <w:rsid w:val="009C49C2"/>
    <w:rsid w:val="009C5A10"/>
    <w:rsid w:val="009C690E"/>
    <w:rsid w:val="009C761A"/>
    <w:rsid w:val="009D1CD4"/>
    <w:rsid w:val="009D2299"/>
    <w:rsid w:val="009D3265"/>
    <w:rsid w:val="009D5BF9"/>
    <w:rsid w:val="009D5E49"/>
    <w:rsid w:val="009D5F95"/>
    <w:rsid w:val="009D6918"/>
    <w:rsid w:val="009D7034"/>
    <w:rsid w:val="009E0144"/>
    <w:rsid w:val="009E2C56"/>
    <w:rsid w:val="009E3096"/>
    <w:rsid w:val="009E3D74"/>
    <w:rsid w:val="009E4449"/>
    <w:rsid w:val="009E447C"/>
    <w:rsid w:val="009E4C81"/>
    <w:rsid w:val="009E5C07"/>
    <w:rsid w:val="009F0BDA"/>
    <w:rsid w:val="009F13F9"/>
    <w:rsid w:val="009F1C17"/>
    <w:rsid w:val="009F2064"/>
    <w:rsid w:val="009F28AD"/>
    <w:rsid w:val="009F3085"/>
    <w:rsid w:val="009F5730"/>
    <w:rsid w:val="009F5A97"/>
    <w:rsid w:val="009F6924"/>
    <w:rsid w:val="009F6DA0"/>
    <w:rsid w:val="00A00D7D"/>
    <w:rsid w:val="00A01EB9"/>
    <w:rsid w:val="00A030AF"/>
    <w:rsid w:val="00A03400"/>
    <w:rsid w:val="00A03932"/>
    <w:rsid w:val="00A03B69"/>
    <w:rsid w:val="00A04C6C"/>
    <w:rsid w:val="00A0547E"/>
    <w:rsid w:val="00A06D6A"/>
    <w:rsid w:val="00A10549"/>
    <w:rsid w:val="00A10713"/>
    <w:rsid w:val="00A135FA"/>
    <w:rsid w:val="00A1388C"/>
    <w:rsid w:val="00A139D0"/>
    <w:rsid w:val="00A17BFC"/>
    <w:rsid w:val="00A21258"/>
    <w:rsid w:val="00A22285"/>
    <w:rsid w:val="00A22D7A"/>
    <w:rsid w:val="00A24900"/>
    <w:rsid w:val="00A24950"/>
    <w:rsid w:val="00A24D4E"/>
    <w:rsid w:val="00A2534F"/>
    <w:rsid w:val="00A26BDE"/>
    <w:rsid w:val="00A272E8"/>
    <w:rsid w:val="00A27CBB"/>
    <w:rsid w:val="00A3097C"/>
    <w:rsid w:val="00A31D9A"/>
    <w:rsid w:val="00A335F5"/>
    <w:rsid w:val="00A33BF3"/>
    <w:rsid w:val="00A344BF"/>
    <w:rsid w:val="00A3611C"/>
    <w:rsid w:val="00A36A5D"/>
    <w:rsid w:val="00A41EBD"/>
    <w:rsid w:val="00A43B5B"/>
    <w:rsid w:val="00A446AB"/>
    <w:rsid w:val="00A449A4"/>
    <w:rsid w:val="00A46D9D"/>
    <w:rsid w:val="00A472F6"/>
    <w:rsid w:val="00A5016D"/>
    <w:rsid w:val="00A51D9E"/>
    <w:rsid w:val="00A522B9"/>
    <w:rsid w:val="00A52374"/>
    <w:rsid w:val="00A532C4"/>
    <w:rsid w:val="00A53CC1"/>
    <w:rsid w:val="00A54246"/>
    <w:rsid w:val="00A55FF5"/>
    <w:rsid w:val="00A563E8"/>
    <w:rsid w:val="00A5786B"/>
    <w:rsid w:val="00A61235"/>
    <w:rsid w:val="00A6152F"/>
    <w:rsid w:val="00A61D34"/>
    <w:rsid w:val="00A63D5D"/>
    <w:rsid w:val="00A644D1"/>
    <w:rsid w:val="00A64B83"/>
    <w:rsid w:val="00A6565B"/>
    <w:rsid w:val="00A65C3F"/>
    <w:rsid w:val="00A65E74"/>
    <w:rsid w:val="00A66591"/>
    <w:rsid w:val="00A66F1A"/>
    <w:rsid w:val="00A679E9"/>
    <w:rsid w:val="00A70227"/>
    <w:rsid w:val="00A7045F"/>
    <w:rsid w:val="00A71590"/>
    <w:rsid w:val="00A7267F"/>
    <w:rsid w:val="00A729E0"/>
    <w:rsid w:val="00A730EE"/>
    <w:rsid w:val="00A7355D"/>
    <w:rsid w:val="00A7379E"/>
    <w:rsid w:val="00A739DB"/>
    <w:rsid w:val="00A7457B"/>
    <w:rsid w:val="00A74C33"/>
    <w:rsid w:val="00A810A2"/>
    <w:rsid w:val="00A8188C"/>
    <w:rsid w:val="00A81BB4"/>
    <w:rsid w:val="00A82486"/>
    <w:rsid w:val="00A83EFD"/>
    <w:rsid w:val="00A84B5E"/>
    <w:rsid w:val="00A854E9"/>
    <w:rsid w:val="00A85B4A"/>
    <w:rsid w:val="00A86858"/>
    <w:rsid w:val="00A90635"/>
    <w:rsid w:val="00A90D24"/>
    <w:rsid w:val="00A9205F"/>
    <w:rsid w:val="00A923D4"/>
    <w:rsid w:val="00A92A62"/>
    <w:rsid w:val="00A93BEF"/>
    <w:rsid w:val="00A95D38"/>
    <w:rsid w:val="00A960E1"/>
    <w:rsid w:val="00A97914"/>
    <w:rsid w:val="00AA073B"/>
    <w:rsid w:val="00AA1809"/>
    <w:rsid w:val="00AA1AE2"/>
    <w:rsid w:val="00AA2731"/>
    <w:rsid w:val="00AA3070"/>
    <w:rsid w:val="00AA3A92"/>
    <w:rsid w:val="00AA4C90"/>
    <w:rsid w:val="00AA4EE8"/>
    <w:rsid w:val="00AA5778"/>
    <w:rsid w:val="00AA7432"/>
    <w:rsid w:val="00AA77C7"/>
    <w:rsid w:val="00AB0170"/>
    <w:rsid w:val="00AB2515"/>
    <w:rsid w:val="00AB298D"/>
    <w:rsid w:val="00AB4B63"/>
    <w:rsid w:val="00AB56CA"/>
    <w:rsid w:val="00AB57C3"/>
    <w:rsid w:val="00AB59CC"/>
    <w:rsid w:val="00AB5AC2"/>
    <w:rsid w:val="00AB60D6"/>
    <w:rsid w:val="00AB650F"/>
    <w:rsid w:val="00AB78E2"/>
    <w:rsid w:val="00AB7F26"/>
    <w:rsid w:val="00AC0BF7"/>
    <w:rsid w:val="00AC0F40"/>
    <w:rsid w:val="00AC1BAB"/>
    <w:rsid w:val="00AC2C3C"/>
    <w:rsid w:val="00AC2F70"/>
    <w:rsid w:val="00AC30A3"/>
    <w:rsid w:val="00AC3105"/>
    <w:rsid w:val="00AC3D7A"/>
    <w:rsid w:val="00AC4C0D"/>
    <w:rsid w:val="00AC5354"/>
    <w:rsid w:val="00AC6214"/>
    <w:rsid w:val="00AC6451"/>
    <w:rsid w:val="00AC78C8"/>
    <w:rsid w:val="00AC7CF2"/>
    <w:rsid w:val="00AC7D97"/>
    <w:rsid w:val="00AC7F96"/>
    <w:rsid w:val="00AD3DE5"/>
    <w:rsid w:val="00AD52DA"/>
    <w:rsid w:val="00AD53CE"/>
    <w:rsid w:val="00AD5775"/>
    <w:rsid w:val="00AD5B7D"/>
    <w:rsid w:val="00AD6072"/>
    <w:rsid w:val="00AD773C"/>
    <w:rsid w:val="00AD7EA0"/>
    <w:rsid w:val="00AE2121"/>
    <w:rsid w:val="00AE507F"/>
    <w:rsid w:val="00AE55AA"/>
    <w:rsid w:val="00AE64A5"/>
    <w:rsid w:val="00AE77B3"/>
    <w:rsid w:val="00AF09A2"/>
    <w:rsid w:val="00AF2F13"/>
    <w:rsid w:val="00AF40A0"/>
    <w:rsid w:val="00AF4673"/>
    <w:rsid w:val="00AF5261"/>
    <w:rsid w:val="00AF7F61"/>
    <w:rsid w:val="00B00630"/>
    <w:rsid w:val="00B0175F"/>
    <w:rsid w:val="00B01EFD"/>
    <w:rsid w:val="00B03491"/>
    <w:rsid w:val="00B041F0"/>
    <w:rsid w:val="00B04361"/>
    <w:rsid w:val="00B04DCA"/>
    <w:rsid w:val="00B067B5"/>
    <w:rsid w:val="00B06EEF"/>
    <w:rsid w:val="00B100C0"/>
    <w:rsid w:val="00B103AE"/>
    <w:rsid w:val="00B12388"/>
    <w:rsid w:val="00B13E7B"/>
    <w:rsid w:val="00B13F82"/>
    <w:rsid w:val="00B14DC6"/>
    <w:rsid w:val="00B15883"/>
    <w:rsid w:val="00B172AA"/>
    <w:rsid w:val="00B174CB"/>
    <w:rsid w:val="00B20737"/>
    <w:rsid w:val="00B21A2D"/>
    <w:rsid w:val="00B2414F"/>
    <w:rsid w:val="00B246AD"/>
    <w:rsid w:val="00B25369"/>
    <w:rsid w:val="00B253C9"/>
    <w:rsid w:val="00B311D3"/>
    <w:rsid w:val="00B34459"/>
    <w:rsid w:val="00B35AD6"/>
    <w:rsid w:val="00B3651C"/>
    <w:rsid w:val="00B36DCA"/>
    <w:rsid w:val="00B423A7"/>
    <w:rsid w:val="00B42DB2"/>
    <w:rsid w:val="00B4307B"/>
    <w:rsid w:val="00B43B5C"/>
    <w:rsid w:val="00B44A9D"/>
    <w:rsid w:val="00B44CFD"/>
    <w:rsid w:val="00B47E9E"/>
    <w:rsid w:val="00B51947"/>
    <w:rsid w:val="00B5404F"/>
    <w:rsid w:val="00B577B8"/>
    <w:rsid w:val="00B6055B"/>
    <w:rsid w:val="00B6085A"/>
    <w:rsid w:val="00B609AA"/>
    <w:rsid w:val="00B62267"/>
    <w:rsid w:val="00B6257B"/>
    <w:rsid w:val="00B62811"/>
    <w:rsid w:val="00B63225"/>
    <w:rsid w:val="00B665BE"/>
    <w:rsid w:val="00B665EA"/>
    <w:rsid w:val="00B67BE1"/>
    <w:rsid w:val="00B70326"/>
    <w:rsid w:val="00B7364E"/>
    <w:rsid w:val="00B73C87"/>
    <w:rsid w:val="00B7401A"/>
    <w:rsid w:val="00B752C0"/>
    <w:rsid w:val="00B7573B"/>
    <w:rsid w:val="00B765A5"/>
    <w:rsid w:val="00B76A88"/>
    <w:rsid w:val="00B80436"/>
    <w:rsid w:val="00B85359"/>
    <w:rsid w:val="00B85DF0"/>
    <w:rsid w:val="00B86A9E"/>
    <w:rsid w:val="00B86CEA"/>
    <w:rsid w:val="00B870F0"/>
    <w:rsid w:val="00B911C4"/>
    <w:rsid w:val="00B92883"/>
    <w:rsid w:val="00B92ECC"/>
    <w:rsid w:val="00B933B1"/>
    <w:rsid w:val="00B935B2"/>
    <w:rsid w:val="00B94E9E"/>
    <w:rsid w:val="00B96212"/>
    <w:rsid w:val="00B96424"/>
    <w:rsid w:val="00B9672D"/>
    <w:rsid w:val="00B97A86"/>
    <w:rsid w:val="00BA2BC1"/>
    <w:rsid w:val="00BA310B"/>
    <w:rsid w:val="00BA32A3"/>
    <w:rsid w:val="00BA3638"/>
    <w:rsid w:val="00BA36C8"/>
    <w:rsid w:val="00BA4596"/>
    <w:rsid w:val="00BA53CC"/>
    <w:rsid w:val="00BA5548"/>
    <w:rsid w:val="00BA6AD3"/>
    <w:rsid w:val="00BA77DF"/>
    <w:rsid w:val="00BA7ABE"/>
    <w:rsid w:val="00BA7ECC"/>
    <w:rsid w:val="00BB11F0"/>
    <w:rsid w:val="00BB2EAD"/>
    <w:rsid w:val="00BB3FF2"/>
    <w:rsid w:val="00BB66D6"/>
    <w:rsid w:val="00BB6868"/>
    <w:rsid w:val="00BB768C"/>
    <w:rsid w:val="00BC16C3"/>
    <w:rsid w:val="00BC1C93"/>
    <w:rsid w:val="00BC3055"/>
    <w:rsid w:val="00BC3C0D"/>
    <w:rsid w:val="00BC4784"/>
    <w:rsid w:val="00BC7D83"/>
    <w:rsid w:val="00BD0400"/>
    <w:rsid w:val="00BD0B65"/>
    <w:rsid w:val="00BD32FB"/>
    <w:rsid w:val="00BD36EB"/>
    <w:rsid w:val="00BD4BE0"/>
    <w:rsid w:val="00BD4E4A"/>
    <w:rsid w:val="00BD4E5D"/>
    <w:rsid w:val="00BD574B"/>
    <w:rsid w:val="00BD580F"/>
    <w:rsid w:val="00BD64A1"/>
    <w:rsid w:val="00BD65B0"/>
    <w:rsid w:val="00BD695F"/>
    <w:rsid w:val="00BD79F0"/>
    <w:rsid w:val="00BE044F"/>
    <w:rsid w:val="00BE300D"/>
    <w:rsid w:val="00BE55C7"/>
    <w:rsid w:val="00BE57CE"/>
    <w:rsid w:val="00BE5920"/>
    <w:rsid w:val="00BE6B9B"/>
    <w:rsid w:val="00BE705B"/>
    <w:rsid w:val="00BE7877"/>
    <w:rsid w:val="00BF03C8"/>
    <w:rsid w:val="00BF0477"/>
    <w:rsid w:val="00BF097A"/>
    <w:rsid w:val="00BF0A01"/>
    <w:rsid w:val="00BF1BE4"/>
    <w:rsid w:val="00BF1D1E"/>
    <w:rsid w:val="00BF1F2A"/>
    <w:rsid w:val="00BF1F42"/>
    <w:rsid w:val="00BF48F6"/>
    <w:rsid w:val="00BF5768"/>
    <w:rsid w:val="00BF5AF5"/>
    <w:rsid w:val="00BF6220"/>
    <w:rsid w:val="00BF629C"/>
    <w:rsid w:val="00BF68BA"/>
    <w:rsid w:val="00C03BA4"/>
    <w:rsid w:val="00C06DF8"/>
    <w:rsid w:val="00C0725F"/>
    <w:rsid w:val="00C10731"/>
    <w:rsid w:val="00C11707"/>
    <w:rsid w:val="00C11A4D"/>
    <w:rsid w:val="00C120E1"/>
    <w:rsid w:val="00C12EE6"/>
    <w:rsid w:val="00C14B76"/>
    <w:rsid w:val="00C16162"/>
    <w:rsid w:val="00C1627F"/>
    <w:rsid w:val="00C177CA"/>
    <w:rsid w:val="00C2108B"/>
    <w:rsid w:val="00C22205"/>
    <w:rsid w:val="00C22E8B"/>
    <w:rsid w:val="00C23957"/>
    <w:rsid w:val="00C257CD"/>
    <w:rsid w:val="00C279A3"/>
    <w:rsid w:val="00C30C98"/>
    <w:rsid w:val="00C30EFC"/>
    <w:rsid w:val="00C31910"/>
    <w:rsid w:val="00C33184"/>
    <w:rsid w:val="00C3387D"/>
    <w:rsid w:val="00C340E2"/>
    <w:rsid w:val="00C35166"/>
    <w:rsid w:val="00C3521D"/>
    <w:rsid w:val="00C355A3"/>
    <w:rsid w:val="00C35EF9"/>
    <w:rsid w:val="00C36887"/>
    <w:rsid w:val="00C36FD3"/>
    <w:rsid w:val="00C44BDF"/>
    <w:rsid w:val="00C45280"/>
    <w:rsid w:val="00C4607C"/>
    <w:rsid w:val="00C46571"/>
    <w:rsid w:val="00C46F47"/>
    <w:rsid w:val="00C47BDC"/>
    <w:rsid w:val="00C54C6F"/>
    <w:rsid w:val="00C55885"/>
    <w:rsid w:val="00C558E7"/>
    <w:rsid w:val="00C5603D"/>
    <w:rsid w:val="00C57072"/>
    <w:rsid w:val="00C571BB"/>
    <w:rsid w:val="00C57B88"/>
    <w:rsid w:val="00C61376"/>
    <w:rsid w:val="00C62471"/>
    <w:rsid w:val="00C675A2"/>
    <w:rsid w:val="00C7014A"/>
    <w:rsid w:val="00C714F7"/>
    <w:rsid w:val="00C72619"/>
    <w:rsid w:val="00C73046"/>
    <w:rsid w:val="00C7313C"/>
    <w:rsid w:val="00C737AA"/>
    <w:rsid w:val="00C7380B"/>
    <w:rsid w:val="00C73E55"/>
    <w:rsid w:val="00C775B0"/>
    <w:rsid w:val="00C77CBA"/>
    <w:rsid w:val="00C80227"/>
    <w:rsid w:val="00C81286"/>
    <w:rsid w:val="00C8183D"/>
    <w:rsid w:val="00C81CFB"/>
    <w:rsid w:val="00C82AE0"/>
    <w:rsid w:val="00C82F23"/>
    <w:rsid w:val="00C83891"/>
    <w:rsid w:val="00C83D45"/>
    <w:rsid w:val="00C86103"/>
    <w:rsid w:val="00C87CA3"/>
    <w:rsid w:val="00C90F5C"/>
    <w:rsid w:val="00C9125E"/>
    <w:rsid w:val="00C926F3"/>
    <w:rsid w:val="00C93CF3"/>
    <w:rsid w:val="00C93F2D"/>
    <w:rsid w:val="00C951FF"/>
    <w:rsid w:val="00C95392"/>
    <w:rsid w:val="00C973D3"/>
    <w:rsid w:val="00C97480"/>
    <w:rsid w:val="00CA43A5"/>
    <w:rsid w:val="00CA6C58"/>
    <w:rsid w:val="00CA719B"/>
    <w:rsid w:val="00CA78B7"/>
    <w:rsid w:val="00CA79E1"/>
    <w:rsid w:val="00CA7C70"/>
    <w:rsid w:val="00CB11B0"/>
    <w:rsid w:val="00CB1A46"/>
    <w:rsid w:val="00CB26CE"/>
    <w:rsid w:val="00CB39EE"/>
    <w:rsid w:val="00CB4004"/>
    <w:rsid w:val="00CB54D0"/>
    <w:rsid w:val="00CB55E2"/>
    <w:rsid w:val="00CB5856"/>
    <w:rsid w:val="00CB6044"/>
    <w:rsid w:val="00CB63F7"/>
    <w:rsid w:val="00CB6440"/>
    <w:rsid w:val="00CB68DE"/>
    <w:rsid w:val="00CB6ECD"/>
    <w:rsid w:val="00CB7CB8"/>
    <w:rsid w:val="00CC02F2"/>
    <w:rsid w:val="00CC077C"/>
    <w:rsid w:val="00CC0A3C"/>
    <w:rsid w:val="00CC14BC"/>
    <w:rsid w:val="00CC1ADF"/>
    <w:rsid w:val="00CC2149"/>
    <w:rsid w:val="00CC61C8"/>
    <w:rsid w:val="00CC761B"/>
    <w:rsid w:val="00CD0D89"/>
    <w:rsid w:val="00CD0EBE"/>
    <w:rsid w:val="00CD19D2"/>
    <w:rsid w:val="00CD2084"/>
    <w:rsid w:val="00CD2873"/>
    <w:rsid w:val="00CD4051"/>
    <w:rsid w:val="00CD4399"/>
    <w:rsid w:val="00CD4787"/>
    <w:rsid w:val="00CD6544"/>
    <w:rsid w:val="00CD7C41"/>
    <w:rsid w:val="00CE17A6"/>
    <w:rsid w:val="00CE3003"/>
    <w:rsid w:val="00CE393D"/>
    <w:rsid w:val="00CE3A65"/>
    <w:rsid w:val="00CE44E0"/>
    <w:rsid w:val="00CE4516"/>
    <w:rsid w:val="00CE576F"/>
    <w:rsid w:val="00CE6316"/>
    <w:rsid w:val="00CE6482"/>
    <w:rsid w:val="00CE65F5"/>
    <w:rsid w:val="00CF353F"/>
    <w:rsid w:val="00CF3565"/>
    <w:rsid w:val="00D006A1"/>
    <w:rsid w:val="00D00E2C"/>
    <w:rsid w:val="00D01950"/>
    <w:rsid w:val="00D03E0E"/>
    <w:rsid w:val="00D0412F"/>
    <w:rsid w:val="00D04780"/>
    <w:rsid w:val="00D06940"/>
    <w:rsid w:val="00D069C0"/>
    <w:rsid w:val="00D10DA6"/>
    <w:rsid w:val="00D114FF"/>
    <w:rsid w:val="00D11B16"/>
    <w:rsid w:val="00D13D82"/>
    <w:rsid w:val="00D146DC"/>
    <w:rsid w:val="00D14F97"/>
    <w:rsid w:val="00D1608C"/>
    <w:rsid w:val="00D168D9"/>
    <w:rsid w:val="00D16E7D"/>
    <w:rsid w:val="00D20DC8"/>
    <w:rsid w:val="00D22AA5"/>
    <w:rsid w:val="00D23708"/>
    <w:rsid w:val="00D24E35"/>
    <w:rsid w:val="00D25C01"/>
    <w:rsid w:val="00D25D7F"/>
    <w:rsid w:val="00D260E8"/>
    <w:rsid w:val="00D2677C"/>
    <w:rsid w:val="00D27055"/>
    <w:rsid w:val="00D271AB"/>
    <w:rsid w:val="00D279F3"/>
    <w:rsid w:val="00D3043D"/>
    <w:rsid w:val="00D3057C"/>
    <w:rsid w:val="00D3067F"/>
    <w:rsid w:val="00D313D9"/>
    <w:rsid w:val="00D322A0"/>
    <w:rsid w:val="00D34AA7"/>
    <w:rsid w:val="00D357DF"/>
    <w:rsid w:val="00D36408"/>
    <w:rsid w:val="00D364D4"/>
    <w:rsid w:val="00D36852"/>
    <w:rsid w:val="00D37371"/>
    <w:rsid w:val="00D37DCC"/>
    <w:rsid w:val="00D37FD3"/>
    <w:rsid w:val="00D43095"/>
    <w:rsid w:val="00D4569C"/>
    <w:rsid w:val="00D458E3"/>
    <w:rsid w:val="00D45FAE"/>
    <w:rsid w:val="00D464EE"/>
    <w:rsid w:val="00D4684D"/>
    <w:rsid w:val="00D47970"/>
    <w:rsid w:val="00D50F58"/>
    <w:rsid w:val="00D51026"/>
    <w:rsid w:val="00D5114A"/>
    <w:rsid w:val="00D51AB2"/>
    <w:rsid w:val="00D52321"/>
    <w:rsid w:val="00D52639"/>
    <w:rsid w:val="00D545C6"/>
    <w:rsid w:val="00D55F14"/>
    <w:rsid w:val="00D6007C"/>
    <w:rsid w:val="00D62DF9"/>
    <w:rsid w:val="00D646C3"/>
    <w:rsid w:val="00D65BC0"/>
    <w:rsid w:val="00D66A8F"/>
    <w:rsid w:val="00D66E05"/>
    <w:rsid w:val="00D70023"/>
    <w:rsid w:val="00D7249C"/>
    <w:rsid w:val="00D74D91"/>
    <w:rsid w:val="00D75370"/>
    <w:rsid w:val="00D76F93"/>
    <w:rsid w:val="00D776F9"/>
    <w:rsid w:val="00D8030F"/>
    <w:rsid w:val="00D8257F"/>
    <w:rsid w:val="00D82647"/>
    <w:rsid w:val="00D82BDE"/>
    <w:rsid w:val="00D8331F"/>
    <w:rsid w:val="00D8391E"/>
    <w:rsid w:val="00D84291"/>
    <w:rsid w:val="00D8434F"/>
    <w:rsid w:val="00D85E6F"/>
    <w:rsid w:val="00D902AC"/>
    <w:rsid w:val="00D919DE"/>
    <w:rsid w:val="00D920E3"/>
    <w:rsid w:val="00D924E3"/>
    <w:rsid w:val="00D956D0"/>
    <w:rsid w:val="00D95C2C"/>
    <w:rsid w:val="00D95CC4"/>
    <w:rsid w:val="00D9628B"/>
    <w:rsid w:val="00D9705D"/>
    <w:rsid w:val="00D97E3B"/>
    <w:rsid w:val="00DA02CA"/>
    <w:rsid w:val="00DA0E82"/>
    <w:rsid w:val="00DA1360"/>
    <w:rsid w:val="00DA16AF"/>
    <w:rsid w:val="00DA1F8B"/>
    <w:rsid w:val="00DA23E8"/>
    <w:rsid w:val="00DA29F5"/>
    <w:rsid w:val="00DA2E66"/>
    <w:rsid w:val="00DA3E96"/>
    <w:rsid w:val="00DA452D"/>
    <w:rsid w:val="00DA54EE"/>
    <w:rsid w:val="00DA6A71"/>
    <w:rsid w:val="00DA7634"/>
    <w:rsid w:val="00DA7EDD"/>
    <w:rsid w:val="00DB0D82"/>
    <w:rsid w:val="00DB1F8A"/>
    <w:rsid w:val="00DB3330"/>
    <w:rsid w:val="00DB464F"/>
    <w:rsid w:val="00DB4764"/>
    <w:rsid w:val="00DB4BBC"/>
    <w:rsid w:val="00DB58E2"/>
    <w:rsid w:val="00DB6231"/>
    <w:rsid w:val="00DC1CEE"/>
    <w:rsid w:val="00DC6914"/>
    <w:rsid w:val="00DC6D2A"/>
    <w:rsid w:val="00DC7E01"/>
    <w:rsid w:val="00DD0017"/>
    <w:rsid w:val="00DD0F64"/>
    <w:rsid w:val="00DD1EC4"/>
    <w:rsid w:val="00DD22B2"/>
    <w:rsid w:val="00DD5F78"/>
    <w:rsid w:val="00DD6D33"/>
    <w:rsid w:val="00DD71F5"/>
    <w:rsid w:val="00DD78E9"/>
    <w:rsid w:val="00DE4197"/>
    <w:rsid w:val="00DE4852"/>
    <w:rsid w:val="00DE5A36"/>
    <w:rsid w:val="00DE6CFA"/>
    <w:rsid w:val="00DE6FA0"/>
    <w:rsid w:val="00DE7040"/>
    <w:rsid w:val="00DE7048"/>
    <w:rsid w:val="00DE7EE0"/>
    <w:rsid w:val="00DF0299"/>
    <w:rsid w:val="00DF1423"/>
    <w:rsid w:val="00DF167D"/>
    <w:rsid w:val="00DF271D"/>
    <w:rsid w:val="00DF5D46"/>
    <w:rsid w:val="00DF5D8A"/>
    <w:rsid w:val="00DF68BF"/>
    <w:rsid w:val="00DF7A5D"/>
    <w:rsid w:val="00E02EB4"/>
    <w:rsid w:val="00E032F3"/>
    <w:rsid w:val="00E04C5E"/>
    <w:rsid w:val="00E05291"/>
    <w:rsid w:val="00E0605C"/>
    <w:rsid w:val="00E0757F"/>
    <w:rsid w:val="00E12733"/>
    <w:rsid w:val="00E1319C"/>
    <w:rsid w:val="00E13386"/>
    <w:rsid w:val="00E133EE"/>
    <w:rsid w:val="00E13CF4"/>
    <w:rsid w:val="00E1481E"/>
    <w:rsid w:val="00E15035"/>
    <w:rsid w:val="00E15C20"/>
    <w:rsid w:val="00E17B50"/>
    <w:rsid w:val="00E20C23"/>
    <w:rsid w:val="00E21B9C"/>
    <w:rsid w:val="00E22AD9"/>
    <w:rsid w:val="00E22C7B"/>
    <w:rsid w:val="00E244EE"/>
    <w:rsid w:val="00E2526A"/>
    <w:rsid w:val="00E264D6"/>
    <w:rsid w:val="00E26D6A"/>
    <w:rsid w:val="00E276E0"/>
    <w:rsid w:val="00E32028"/>
    <w:rsid w:val="00E348AE"/>
    <w:rsid w:val="00E355DD"/>
    <w:rsid w:val="00E36E9E"/>
    <w:rsid w:val="00E41042"/>
    <w:rsid w:val="00E41217"/>
    <w:rsid w:val="00E428C1"/>
    <w:rsid w:val="00E42D3F"/>
    <w:rsid w:val="00E43AF9"/>
    <w:rsid w:val="00E456C9"/>
    <w:rsid w:val="00E460AD"/>
    <w:rsid w:val="00E50A07"/>
    <w:rsid w:val="00E50D00"/>
    <w:rsid w:val="00E52580"/>
    <w:rsid w:val="00E53FE5"/>
    <w:rsid w:val="00E55497"/>
    <w:rsid w:val="00E57E1F"/>
    <w:rsid w:val="00E57FE7"/>
    <w:rsid w:val="00E614FB"/>
    <w:rsid w:val="00E62381"/>
    <w:rsid w:val="00E65F17"/>
    <w:rsid w:val="00E66055"/>
    <w:rsid w:val="00E662FB"/>
    <w:rsid w:val="00E66845"/>
    <w:rsid w:val="00E66858"/>
    <w:rsid w:val="00E67578"/>
    <w:rsid w:val="00E701A5"/>
    <w:rsid w:val="00E7410C"/>
    <w:rsid w:val="00E74D30"/>
    <w:rsid w:val="00E74F1A"/>
    <w:rsid w:val="00E76848"/>
    <w:rsid w:val="00E76950"/>
    <w:rsid w:val="00E77ECF"/>
    <w:rsid w:val="00E804AC"/>
    <w:rsid w:val="00E82996"/>
    <w:rsid w:val="00E83CCD"/>
    <w:rsid w:val="00E8441C"/>
    <w:rsid w:val="00E84BBC"/>
    <w:rsid w:val="00E8566D"/>
    <w:rsid w:val="00E867F2"/>
    <w:rsid w:val="00E873B9"/>
    <w:rsid w:val="00E90372"/>
    <w:rsid w:val="00E90578"/>
    <w:rsid w:val="00E90949"/>
    <w:rsid w:val="00E92198"/>
    <w:rsid w:val="00E925B7"/>
    <w:rsid w:val="00E92CE5"/>
    <w:rsid w:val="00E94649"/>
    <w:rsid w:val="00E94AC8"/>
    <w:rsid w:val="00E96A1E"/>
    <w:rsid w:val="00E971D5"/>
    <w:rsid w:val="00E973CB"/>
    <w:rsid w:val="00EA035C"/>
    <w:rsid w:val="00EA0645"/>
    <w:rsid w:val="00EA0B74"/>
    <w:rsid w:val="00EA1AD1"/>
    <w:rsid w:val="00EA313D"/>
    <w:rsid w:val="00EA47E4"/>
    <w:rsid w:val="00EA4DA7"/>
    <w:rsid w:val="00EA52E7"/>
    <w:rsid w:val="00EA52FF"/>
    <w:rsid w:val="00EA59A8"/>
    <w:rsid w:val="00EA7B8F"/>
    <w:rsid w:val="00EB17D7"/>
    <w:rsid w:val="00EB1B0B"/>
    <w:rsid w:val="00EB2A86"/>
    <w:rsid w:val="00EB30AD"/>
    <w:rsid w:val="00EB363F"/>
    <w:rsid w:val="00EB411B"/>
    <w:rsid w:val="00EB50B1"/>
    <w:rsid w:val="00EB5377"/>
    <w:rsid w:val="00EB5AA0"/>
    <w:rsid w:val="00EB63B5"/>
    <w:rsid w:val="00EB65C9"/>
    <w:rsid w:val="00EB6C82"/>
    <w:rsid w:val="00EB7FBC"/>
    <w:rsid w:val="00EC07C8"/>
    <w:rsid w:val="00EC1669"/>
    <w:rsid w:val="00EC1EEF"/>
    <w:rsid w:val="00EC65BB"/>
    <w:rsid w:val="00ED00AB"/>
    <w:rsid w:val="00ED1134"/>
    <w:rsid w:val="00ED2658"/>
    <w:rsid w:val="00ED2EB7"/>
    <w:rsid w:val="00ED3C7A"/>
    <w:rsid w:val="00ED5434"/>
    <w:rsid w:val="00ED5506"/>
    <w:rsid w:val="00ED6879"/>
    <w:rsid w:val="00ED6E46"/>
    <w:rsid w:val="00ED7C1B"/>
    <w:rsid w:val="00EE15AE"/>
    <w:rsid w:val="00EE16CB"/>
    <w:rsid w:val="00EE3B80"/>
    <w:rsid w:val="00EE540D"/>
    <w:rsid w:val="00EE56E5"/>
    <w:rsid w:val="00EE6FD9"/>
    <w:rsid w:val="00EE7459"/>
    <w:rsid w:val="00EF0F42"/>
    <w:rsid w:val="00EF330D"/>
    <w:rsid w:val="00EF36C9"/>
    <w:rsid w:val="00EF47F5"/>
    <w:rsid w:val="00EF48C8"/>
    <w:rsid w:val="00EF7063"/>
    <w:rsid w:val="00F0033C"/>
    <w:rsid w:val="00F010DF"/>
    <w:rsid w:val="00F03450"/>
    <w:rsid w:val="00F04107"/>
    <w:rsid w:val="00F04D98"/>
    <w:rsid w:val="00F04F44"/>
    <w:rsid w:val="00F06375"/>
    <w:rsid w:val="00F109D8"/>
    <w:rsid w:val="00F13BD9"/>
    <w:rsid w:val="00F149E9"/>
    <w:rsid w:val="00F15172"/>
    <w:rsid w:val="00F15D60"/>
    <w:rsid w:val="00F1613D"/>
    <w:rsid w:val="00F16701"/>
    <w:rsid w:val="00F16C16"/>
    <w:rsid w:val="00F17A52"/>
    <w:rsid w:val="00F20546"/>
    <w:rsid w:val="00F2094C"/>
    <w:rsid w:val="00F20E2C"/>
    <w:rsid w:val="00F24EA0"/>
    <w:rsid w:val="00F26970"/>
    <w:rsid w:val="00F27846"/>
    <w:rsid w:val="00F279A4"/>
    <w:rsid w:val="00F27EC3"/>
    <w:rsid w:val="00F27EF4"/>
    <w:rsid w:val="00F30090"/>
    <w:rsid w:val="00F301C2"/>
    <w:rsid w:val="00F30417"/>
    <w:rsid w:val="00F30E4C"/>
    <w:rsid w:val="00F313E7"/>
    <w:rsid w:val="00F32023"/>
    <w:rsid w:val="00F32777"/>
    <w:rsid w:val="00F32B1E"/>
    <w:rsid w:val="00F33285"/>
    <w:rsid w:val="00F33C4E"/>
    <w:rsid w:val="00F33C69"/>
    <w:rsid w:val="00F3431A"/>
    <w:rsid w:val="00F357A4"/>
    <w:rsid w:val="00F35C1A"/>
    <w:rsid w:val="00F36717"/>
    <w:rsid w:val="00F36E75"/>
    <w:rsid w:val="00F37314"/>
    <w:rsid w:val="00F37EB3"/>
    <w:rsid w:val="00F42826"/>
    <w:rsid w:val="00F4416C"/>
    <w:rsid w:val="00F5086E"/>
    <w:rsid w:val="00F50B09"/>
    <w:rsid w:val="00F50B48"/>
    <w:rsid w:val="00F51204"/>
    <w:rsid w:val="00F51496"/>
    <w:rsid w:val="00F55376"/>
    <w:rsid w:val="00F560C0"/>
    <w:rsid w:val="00F620B3"/>
    <w:rsid w:val="00F62945"/>
    <w:rsid w:val="00F62E16"/>
    <w:rsid w:val="00F636D6"/>
    <w:rsid w:val="00F6403A"/>
    <w:rsid w:val="00F64446"/>
    <w:rsid w:val="00F64490"/>
    <w:rsid w:val="00F64ECD"/>
    <w:rsid w:val="00F6626B"/>
    <w:rsid w:val="00F66315"/>
    <w:rsid w:val="00F674DE"/>
    <w:rsid w:val="00F70AAD"/>
    <w:rsid w:val="00F71AE7"/>
    <w:rsid w:val="00F72F54"/>
    <w:rsid w:val="00F73118"/>
    <w:rsid w:val="00F75DB5"/>
    <w:rsid w:val="00F768A6"/>
    <w:rsid w:val="00F76C9F"/>
    <w:rsid w:val="00F77938"/>
    <w:rsid w:val="00F8088C"/>
    <w:rsid w:val="00F8169A"/>
    <w:rsid w:val="00F81C70"/>
    <w:rsid w:val="00F81E82"/>
    <w:rsid w:val="00F82F62"/>
    <w:rsid w:val="00F8332A"/>
    <w:rsid w:val="00F83E68"/>
    <w:rsid w:val="00F846D6"/>
    <w:rsid w:val="00F8583C"/>
    <w:rsid w:val="00F85B8D"/>
    <w:rsid w:val="00F85D48"/>
    <w:rsid w:val="00F85F41"/>
    <w:rsid w:val="00F86ACA"/>
    <w:rsid w:val="00F87183"/>
    <w:rsid w:val="00F87556"/>
    <w:rsid w:val="00F9082F"/>
    <w:rsid w:val="00F90840"/>
    <w:rsid w:val="00F918BA"/>
    <w:rsid w:val="00F935BA"/>
    <w:rsid w:val="00F9434F"/>
    <w:rsid w:val="00F964CA"/>
    <w:rsid w:val="00F96F18"/>
    <w:rsid w:val="00FA025C"/>
    <w:rsid w:val="00FA1B80"/>
    <w:rsid w:val="00FA1EC2"/>
    <w:rsid w:val="00FA2352"/>
    <w:rsid w:val="00FA5A01"/>
    <w:rsid w:val="00FA6264"/>
    <w:rsid w:val="00FA6B72"/>
    <w:rsid w:val="00FA6D53"/>
    <w:rsid w:val="00FB19F2"/>
    <w:rsid w:val="00FB513F"/>
    <w:rsid w:val="00FB5434"/>
    <w:rsid w:val="00FB5EA3"/>
    <w:rsid w:val="00FB69F3"/>
    <w:rsid w:val="00FB7732"/>
    <w:rsid w:val="00FC0A2C"/>
    <w:rsid w:val="00FC124D"/>
    <w:rsid w:val="00FC1F24"/>
    <w:rsid w:val="00FC20D6"/>
    <w:rsid w:val="00FC2D01"/>
    <w:rsid w:val="00FC41CB"/>
    <w:rsid w:val="00FC52F4"/>
    <w:rsid w:val="00FC78B4"/>
    <w:rsid w:val="00FC7C7E"/>
    <w:rsid w:val="00FC7FA9"/>
    <w:rsid w:val="00FD00F0"/>
    <w:rsid w:val="00FD0803"/>
    <w:rsid w:val="00FD14EF"/>
    <w:rsid w:val="00FD1BB8"/>
    <w:rsid w:val="00FD2024"/>
    <w:rsid w:val="00FD2F68"/>
    <w:rsid w:val="00FD6CBF"/>
    <w:rsid w:val="00FD75C8"/>
    <w:rsid w:val="00FD7751"/>
    <w:rsid w:val="00FD7A79"/>
    <w:rsid w:val="00FE1837"/>
    <w:rsid w:val="00FE18A9"/>
    <w:rsid w:val="00FE28AF"/>
    <w:rsid w:val="00FE301F"/>
    <w:rsid w:val="00FE305B"/>
    <w:rsid w:val="00FE3625"/>
    <w:rsid w:val="00FE39BB"/>
    <w:rsid w:val="00FE3F2B"/>
    <w:rsid w:val="00FE4BD7"/>
    <w:rsid w:val="00FE5D6E"/>
    <w:rsid w:val="00FE6450"/>
    <w:rsid w:val="00FE72A8"/>
    <w:rsid w:val="00FE7330"/>
    <w:rsid w:val="00FE7B07"/>
    <w:rsid w:val="00FF211D"/>
    <w:rsid w:val="00FF2D94"/>
    <w:rsid w:val="00FF2FF9"/>
    <w:rsid w:val="00FF4896"/>
    <w:rsid w:val="00FF5058"/>
    <w:rsid w:val="00FF5154"/>
    <w:rsid w:val="00FF6304"/>
    <w:rsid w:val="00FF6F2D"/>
    <w:rsid w:val="00FF7A5B"/>
    <w:rsid w:val="00FF7E9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before="120" w:after="120" w:line="240" w:lineRule="auto"/>
      <w:jc w:val="both"/>
    </w:pPr>
    <w:rPr>
      <w:rFonts w:ascii="Times New Roman" w:hAnsi="Times New Roman" w:cs="Times New Roman"/>
      <w:sz w:val="24"/>
    </w:rPr>
  </w:style>
  <w:style w:type="paragraph" w:styleId="Nadpis1">
    <w:name w:val="heading 1"/>
    <w:basedOn w:val="Normln"/>
    <w:next w:val="Text1"/>
    <w:link w:val="Nadpis1Char"/>
    <w:uiPriority w:val="9"/>
    <w:qFormat/>
    <w:rsid w:val="00877878"/>
    <w:pPr>
      <w:keepNext/>
      <w:numPr>
        <w:numId w:val="34"/>
      </w:numPr>
      <w:spacing w:before="360"/>
      <w:outlineLvl w:val="0"/>
    </w:pPr>
    <w:rPr>
      <w:rFonts w:eastAsiaTheme="majorEastAsia"/>
      <w:b/>
      <w:bCs/>
      <w:smallCaps/>
      <w:szCs w:val="28"/>
    </w:rPr>
  </w:style>
  <w:style w:type="paragraph" w:styleId="Nadpis2">
    <w:name w:val="heading 2"/>
    <w:basedOn w:val="Normln"/>
    <w:next w:val="Text1"/>
    <w:link w:val="Nadpis2Char"/>
    <w:uiPriority w:val="9"/>
    <w:semiHidden/>
    <w:unhideWhenUsed/>
    <w:qFormat/>
    <w:rsid w:val="00877878"/>
    <w:pPr>
      <w:keepNext/>
      <w:numPr>
        <w:ilvl w:val="1"/>
        <w:numId w:val="34"/>
      </w:numPr>
      <w:outlineLvl w:val="1"/>
    </w:pPr>
    <w:rPr>
      <w:rFonts w:eastAsiaTheme="majorEastAsia"/>
      <w:b/>
      <w:bCs/>
      <w:szCs w:val="26"/>
    </w:rPr>
  </w:style>
  <w:style w:type="paragraph" w:styleId="Nadpis3">
    <w:name w:val="heading 3"/>
    <w:basedOn w:val="Normln"/>
    <w:next w:val="Text1"/>
    <w:link w:val="Nadpis3Char"/>
    <w:uiPriority w:val="9"/>
    <w:semiHidden/>
    <w:unhideWhenUsed/>
    <w:qFormat/>
    <w:rsid w:val="00877878"/>
    <w:pPr>
      <w:keepNext/>
      <w:numPr>
        <w:ilvl w:val="2"/>
        <w:numId w:val="34"/>
      </w:numPr>
      <w:outlineLvl w:val="2"/>
    </w:pPr>
    <w:rPr>
      <w:rFonts w:eastAsiaTheme="majorEastAsia"/>
      <w:bCs/>
      <w:i/>
    </w:rPr>
  </w:style>
  <w:style w:type="paragraph" w:styleId="Nadpis4">
    <w:name w:val="heading 4"/>
    <w:basedOn w:val="Normln"/>
    <w:next w:val="Text1"/>
    <w:link w:val="Nadpis4Char"/>
    <w:uiPriority w:val="9"/>
    <w:semiHidden/>
    <w:unhideWhenUsed/>
    <w:qFormat/>
    <w:rsid w:val="00877878"/>
    <w:pPr>
      <w:keepNext/>
      <w:numPr>
        <w:ilvl w:val="3"/>
        <w:numId w:val="34"/>
      </w:numPr>
      <w:outlineLvl w:val="3"/>
    </w:pPr>
    <w:rPr>
      <w:rFonts w:eastAsiaTheme="majorEastAsia"/>
      <w:bCs/>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ous-titreobjet">
    <w:name w:val="Sous-titre objet"/>
    <w:basedOn w:val="Normln"/>
    <w:rsid w:val="007D53B6"/>
    <w:pPr>
      <w:spacing w:before="0" w:after="0"/>
      <w:jc w:val="center"/>
    </w:pPr>
    <w:rPr>
      <w:b/>
    </w:rPr>
  </w:style>
  <w:style w:type="paragraph" w:customStyle="1" w:styleId="Sous-titreobjetPagedecouverture">
    <w:name w:val="Sous-titre objet (Page de couverture)"/>
    <w:basedOn w:val="Sous-titreobjet"/>
    <w:rsid w:val="007D53B6"/>
  </w:style>
  <w:style w:type="character" w:styleId="Odkaznakoment">
    <w:name w:val="annotation reference"/>
    <w:basedOn w:val="Standardnpsmoodstavce"/>
    <w:unhideWhenUsed/>
    <w:rsid w:val="00DE6CFA"/>
    <w:rPr>
      <w:sz w:val="16"/>
      <w:szCs w:val="16"/>
    </w:rPr>
  </w:style>
  <w:style w:type="paragraph" w:styleId="Textkomente">
    <w:name w:val="annotation text"/>
    <w:basedOn w:val="Normln"/>
    <w:link w:val="TextkomenteChar"/>
    <w:unhideWhenUsed/>
    <w:rsid w:val="00DE6CFA"/>
    <w:rPr>
      <w:sz w:val="20"/>
      <w:szCs w:val="20"/>
    </w:rPr>
  </w:style>
  <w:style w:type="character" w:customStyle="1" w:styleId="TextkomenteChar">
    <w:name w:val="Text komentáře Char"/>
    <w:basedOn w:val="Standardnpsmoodstavce"/>
    <w:link w:val="Textkomente"/>
    <w:rsid w:val="00DE6CFA"/>
    <w:rPr>
      <w:rFonts w:ascii="Times New Roman" w:hAnsi="Times New Roman" w:cs="Times New Roman"/>
      <w:sz w:val="20"/>
      <w:szCs w:val="20"/>
      <w:lang w:val="cs-CZ"/>
    </w:rPr>
  </w:style>
  <w:style w:type="paragraph" w:styleId="Pedmtkomente">
    <w:name w:val="annotation subject"/>
    <w:basedOn w:val="Textkomente"/>
    <w:next w:val="Textkomente"/>
    <w:link w:val="PedmtkomenteChar"/>
    <w:uiPriority w:val="99"/>
    <w:semiHidden/>
    <w:unhideWhenUsed/>
    <w:rsid w:val="00DE6CFA"/>
    <w:rPr>
      <w:b/>
      <w:bCs/>
    </w:rPr>
  </w:style>
  <w:style w:type="character" w:customStyle="1" w:styleId="PedmtkomenteChar">
    <w:name w:val="Předmět komentáře Char"/>
    <w:basedOn w:val="TextkomenteChar"/>
    <w:link w:val="Pedmtkomente"/>
    <w:uiPriority w:val="99"/>
    <w:semiHidden/>
    <w:rsid w:val="00DE6CFA"/>
    <w:rPr>
      <w:rFonts w:ascii="Times New Roman" w:hAnsi="Times New Roman" w:cs="Times New Roman"/>
      <w:b/>
      <w:bCs/>
      <w:sz w:val="20"/>
      <w:szCs w:val="20"/>
      <w:lang w:val="cs-CZ"/>
    </w:rPr>
  </w:style>
  <w:style w:type="paragraph" w:styleId="Textbubliny">
    <w:name w:val="Balloon Text"/>
    <w:basedOn w:val="Normln"/>
    <w:link w:val="TextbublinyChar"/>
    <w:uiPriority w:val="99"/>
    <w:semiHidden/>
    <w:unhideWhenUsed/>
    <w:rsid w:val="00DE6CF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E6CFA"/>
    <w:rPr>
      <w:rFonts w:ascii="Tahoma" w:hAnsi="Tahoma" w:cs="Tahoma"/>
      <w:sz w:val="16"/>
      <w:szCs w:val="16"/>
      <w:lang w:val="cs-CZ"/>
    </w:rPr>
  </w:style>
  <w:style w:type="paragraph" w:styleId="Revize">
    <w:name w:val="Revision"/>
    <w:hidden/>
    <w:uiPriority w:val="99"/>
    <w:semiHidden/>
    <w:rsid w:val="00DE6CFA"/>
    <w:pPr>
      <w:spacing w:after="0" w:line="240" w:lineRule="auto"/>
    </w:pPr>
    <w:rPr>
      <w:rFonts w:ascii="Times New Roman" w:hAnsi="Times New Roman" w:cs="Times New Roman"/>
      <w:sz w:val="24"/>
    </w:rPr>
  </w:style>
  <w:style w:type="paragraph" w:styleId="Seznamsodrkami">
    <w:name w:val="List Bullet"/>
    <w:basedOn w:val="Normln"/>
    <w:uiPriority w:val="99"/>
    <w:semiHidden/>
    <w:unhideWhenUsed/>
    <w:rsid w:val="005D1F5C"/>
    <w:pPr>
      <w:numPr>
        <w:numId w:val="1"/>
      </w:numPr>
      <w:contextualSpacing/>
    </w:pPr>
  </w:style>
  <w:style w:type="paragraph" w:styleId="Seznamsodrkami2">
    <w:name w:val="List Bullet 2"/>
    <w:basedOn w:val="Normln"/>
    <w:uiPriority w:val="99"/>
    <w:semiHidden/>
    <w:unhideWhenUsed/>
    <w:rsid w:val="005D1F5C"/>
    <w:pPr>
      <w:numPr>
        <w:numId w:val="2"/>
      </w:numPr>
      <w:contextualSpacing/>
    </w:pPr>
  </w:style>
  <w:style w:type="paragraph" w:styleId="Seznamsodrkami3">
    <w:name w:val="List Bullet 3"/>
    <w:basedOn w:val="Normln"/>
    <w:uiPriority w:val="99"/>
    <w:semiHidden/>
    <w:unhideWhenUsed/>
    <w:rsid w:val="005D1F5C"/>
    <w:pPr>
      <w:numPr>
        <w:numId w:val="3"/>
      </w:numPr>
      <w:contextualSpacing/>
    </w:pPr>
  </w:style>
  <w:style w:type="paragraph" w:styleId="Seznamsodrkami4">
    <w:name w:val="List Bullet 4"/>
    <w:basedOn w:val="Normln"/>
    <w:uiPriority w:val="99"/>
    <w:semiHidden/>
    <w:unhideWhenUsed/>
    <w:rsid w:val="005D1F5C"/>
    <w:pPr>
      <w:numPr>
        <w:numId w:val="4"/>
      </w:numPr>
      <w:contextualSpacing/>
    </w:pPr>
  </w:style>
  <w:style w:type="character" w:styleId="Hypertextovodkaz">
    <w:name w:val="Hyperlink"/>
    <w:basedOn w:val="Standardnpsmoodstavce"/>
    <w:uiPriority w:val="99"/>
    <w:unhideWhenUsed/>
    <w:qFormat/>
    <w:rsid w:val="00E74D30"/>
    <w:rPr>
      <w:color w:val="0000FF" w:themeColor="hyperlink"/>
      <w:u w:val="single"/>
    </w:rPr>
  </w:style>
  <w:style w:type="character" w:styleId="Sledovanodkaz">
    <w:name w:val="FollowedHyperlink"/>
    <w:basedOn w:val="Standardnpsmoodstavce"/>
    <w:uiPriority w:val="99"/>
    <w:semiHidden/>
    <w:unhideWhenUsed/>
    <w:rsid w:val="00E74D30"/>
    <w:rPr>
      <w:color w:val="800080" w:themeColor="followedHyperlink"/>
      <w:u w:val="single"/>
    </w:rPr>
  </w:style>
  <w:style w:type="character" w:customStyle="1" w:styleId="italic1">
    <w:name w:val="italic1"/>
    <w:basedOn w:val="Standardnpsmoodstavce"/>
    <w:rsid w:val="00247593"/>
    <w:rPr>
      <w:i/>
      <w:iCs/>
    </w:rPr>
  </w:style>
  <w:style w:type="paragraph" w:styleId="Odstavecseseznamem">
    <w:name w:val="List Paragraph"/>
    <w:aliases w:val="Table of contents numbered,Normal bullet 2,Antes de enumeración,Párrafo de lista1,Bullet list,List Paragraph1,Dot pt,F5 List Paragraph,No Spacing1,List Paragraph Char Char Char,Indicator Text,Colorful List - Accent 11,L"/>
    <w:basedOn w:val="Normln"/>
    <w:link w:val="OdstavecseseznamemChar"/>
    <w:uiPriority w:val="34"/>
    <w:qFormat/>
    <w:rsid w:val="00612219"/>
    <w:pPr>
      <w:ind w:left="720"/>
      <w:contextualSpacing/>
    </w:pPr>
  </w:style>
  <w:style w:type="paragraph" w:customStyle="1" w:styleId="CM1">
    <w:name w:val="CM1"/>
    <w:basedOn w:val="Normln"/>
    <w:next w:val="Normln"/>
    <w:uiPriority w:val="99"/>
    <w:rsid w:val="00AD53CE"/>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ln"/>
    <w:next w:val="Normln"/>
    <w:uiPriority w:val="99"/>
    <w:rsid w:val="00AD53CE"/>
    <w:pPr>
      <w:autoSpaceDE w:val="0"/>
      <w:autoSpaceDN w:val="0"/>
      <w:adjustRightInd w:val="0"/>
      <w:spacing w:before="0" w:after="0"/>
      <w:jc w:val="left"/>
    </w:pPr>
    <w:rPr>
      <w:rFonts w:ascii="EUAlbertina" w:hAnsi="EUAlbertina" w:cstheme="minorBidi"/>
      <w:szCs w:val="24"/>
    </w:rPr>
  </w:style>
  <w:style w:type="paragraph" w:customStyle="1" w:styleId="title-article-norm">
    <w:name w:val="title-article-norm"/>
    <w:basedOn w:val="Normln"/>
    <w:rsid w:val="00E57E1F"/>
    <w:pPr>
      <w:spacing w:before="100" w:beforeAutospacing="1" w:after="100" w:afterAutospacing="1"/>
      <w:jc w:val="left"/>
    </w:pPr>
    <w:rPr>
      <w:rFonts w:eastAsia="Times New Roman"/>
      <w:szCs w:val="24"/>
    </w:rPr>
  </w:style>
  <w:style w:type="paragraph" w:customStyle="1" w:styleId="stitle-article-norm">
    <w:name w:val="stitle-article-norm"/>
    <w:basedOn w:val="Normln"/>
    <w:rsid w:val="00E57E1F"/>
    <w:pPr>
      <w:spacing w:before="100" w:beforeAutospacing="1" w:after="100" w:afterAutospacing="1"/>
      <w:jc w:val="left"/>
    </w:pPr>
    <w:rPr>
      <w:rFonts w:eastAsia="Times New Roman"/>
      <w:szCs w:val="24"/>
    </w:rPr>
  </w:style>
  <w:style w:type="paragraph" w:customStyle="1" w:styleId="norm">
    <w:name w:val="norm"/>
    <w:basedOn w:val="Normln"/>
    <w:rsid w:val="00E57E1F"/>
    <w:pPr>
      <w:spacing w:before="100" w:beforeAutospacing="1" w:after="100" w:afterAutospacing="1"/>
      <w:jc w:val="left"/>
    </w:pPr>
    <w:rPr>
      <w:rFonts w:eastAsia="Times New Roman"/>
      <w:szCs w:val="24"/>
    </w:rPr>
  </w:style>
  <w:style w:type="paragraph" w:customStyle="1" w:styleId="CM4">
    <w:name w:val="CM4"/>
    <w:basedOn w:val="Normln"/>
    <w:next w:val="Normln"/>
    <w:uiPriority w:val="99"/>
    <w:rsid w:val="00623468"/>
    <w:pPr>
      <w:autoSpaceDE w:val="0"/>
      <w:autoSpaceDN w:val="0"/>
      <w:adjustRightInd w:val="0"/>
      <w:spacing w:before="0" w:after="0"/>
      <w:jc w:val="left"/>
    </w:pPr>
    <w:rPr>
      <w:rFonts w:ascii="EUAlbertina" w:hAnsi="EUAlbertina" w:cstheme="minorBidi"/>
      <w:szCs w:val="24"/>
    </w:rPr>
  </w:style>
  <w:style w:type="paragraph" w:customStyle="1" w:styleId="Default">
    <w:name w:val="Default"/>
    <w:rsid w:val="005C719E"/>
    <w:pPr>
      <w:autoSpaceDE w:val="0"/>
      <w:autoSpaceDN w:val="0"/>
      <w:adjustRightInd w:val="0"/>
      <w:spacing w:after="0" w:line="240" w:lineRule="auto"/>
    </w:pPr>
    <w:rPr>
      <w:rFonts w:ascii="EU Albertina" w:hAnsi="EU Albertina" w:cs="EU Albertina"/>
      <w:color w:val="000000"/>
      <w:sz w:val="24"/>
      <w:szCs w:val="24"/>
    </w:rPr>
  </w:style>
  <w:style w:type="paragraph" w:customStyle="1" w:styleId="Body">
    <w:name w:val="Body"/>
    <w:link w:val="BodyChar"/>
    <w:qFormat/>
    <w:rsid w:val="001C2FE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numbering" w:customStyle="1" w:styleId="Lettered">
    <w:name w:val="Lettered"/>
    <w:rsid w:val="001C2FE7"/>
    <w:pPr>
      <w:numPr>
        <w:numId w:val="5"/>
      </w:numPr>
    </w:pPr>
  </w:style>
  <w:style w:type="paragraph" w:customStyle="1" w:styleId="Corpo">
    <w:name w:val="Corpo"/>
    <w:rsid w:val="0072797A"/>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super">
    <w:name w:val="super"/>
    <w:basedOn w:val="Standardnpsmoodstavce"/>
    <w:rsid w:val="0072797A"/>
    <w:rPr>
      <w:sz w:val="17"/>
      <w:szCs w:val="17"/>
      <w:vertAlign w:val="superscript"/>
    </w:rPr>
  </w:style>
  <w:style w:type="paragraph" w:styleId="Normlnweb">
    <w:name w:val="Normal (Web)"/>
    <w:basedOn w:val="Normln"/>
    <w:uiPriority w:val="99"/>
    <w:unhideWhenUsed/>
    <w:rsid w:val="00410769"/>
    <w:pPr>
      <w:spacing w:before="100" w:beforeAutospacing="1" w:after="100" w:afterAutospacing="1"/>
      <w:jc w:val="left"/>
    </w:pPr>
    <w:rPr>
      <w:rFonts w:eastAsia="Times New Roman"/>
      <w:szCs w:val="24"/>
    </w:rPr>
  </w:style>
  <w:style w:type="character" w:customStyle="1" w:styleId="sup1">
    <w:name w:val="sup1"/>
    <w:basedOn w:val="Standardnpsmoodstavce"/>
    <w:rsid w:val="00410769"/>
    <w:rPr>
      <w:sz w:val="19"/>
      <w:szCs w:val="19"/>
      <w:vertAlign w:val="superscript"/>
    </w:rPr>
  </w:style>
  <w:style w:type="paragraph" w:customStyle="1" w:styleId="FootnoteText1">
    <w:name w:val="Footnote Text1"/>
    <w:basedOn w:val="Normln"/>
    <w:next w:val="Textpoznpodarou"/>
    <w:uiPriority w:val="99"/>
    <w:unhideWhenUsed/>
    <w:rsid w:val="00211ACE"/>
    <w:pPr>
      <w:spacing w:before="0" w:after="0"/>
      <w:jc w:val="left"/>
    </w:pPr>
    <w:rPr>
      <w:rFonts w:asciiTheme="minorHAnsi" w:hAnsiTheme="minorHAnsi" w:cstheme="minorBidi"/>
      <w:sz w:val="20"/>
      <w:szCs w:val="20"/>
    </w:rPr>
  </w:style>
  <w:style w:type="character" w:customStyle="1" w:styleId="Hyperlink1">
    <w:name w:val="Hyperlink1"/>
    <w:basedOn w:val="Standardnpsmoodstavce"/>
    <w:uiPriority w:val="99"/>
    <w:unhideWhenUsed/>
    <w:rsid w:val="00211ACE"/>
    <w:rPr>
      <w:color w:val="0563C1"/>
      <w:u w:val="single"/>
    </w:rPr>
  </w:style>
  <w:style w:type="table" w:styleId="Mkatabulky">
    <w:name w:val="Table Grid"/>
    <w:aliases w:val="Document Table,CV1"/>
    <w:basedOn w:val="Normlntabulka"/>
    <w:uiPriority w:val="59"/>
    <w:rsid w:val="00211A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Char">
    <w:name w:val="Body Char"/>
    <w:basedOn w:val="Standardnpsmoodstavce"/>
    <w:link w:val="Body"/>
    <w:locked/>
    <w:rsid w:val="00211ACE"/>
    <w:rPr>
      <w:rFonts w:ascii="Helvetica Neue" w:eastAsia="Arial Unicode MS" w:hAnsi="Helvetica Neue" w:cs="Arial Unicode MS"/>
      <w:color w:val="000000"/>
      <w:bdr w:val="nil"/>
      <w:lang w:eastAsia="cs-CZ"/>
    </w:rPr>
  </w:style>
  <w:style w:type="character" w:customStyle="1" w:styleId="OdstavecseseznamemChar">
    <w:name w:val="Odstavec se seznamem Char"/>
    <w:aliases w:val="Table of contents numbered Char,Normal bullet 2 Char,Antes de enumeración Char,Párrafo de lista1 Char,Bullet list Char,List Paragraph1 Char,Dot pt Char,F5 List Paragraph Char,No Spacing1 Char,List Paragraph Char Char Char Char"/>
    <w:link w:val="Odstavecseseznamem"/>
    <w:uiPriority w:val="34"/>
    <w:qFormat/>
    <w:locked/>
    <w:rsid w:val="00211ACE"/>
    <w:rPr>
      <w:rFonts w:ascii="Times New Roman" w:hAnsi="Times New Roman" w:cs="Times New Roman"/>
      <w:sz w:val="24"/>
      <w:lang w:val="cs-CZ"/>
    </w:rPr>
  </w:style>
  <w:style w:type="paragraph" w:customStyle="1" w:styleId="NormalLeftAligned">
    <w:name w:val="NormalLeftAligned"/>
    <w:basedOn w:val="Normln"/>
    <w:uiPriority w:val="6"/>
    <w:qFormat/>
    <w:rsid w:val="00211ACE"/>
    <w:pPr>
      <w:spacing w:line="240" w:lineRule="atLeast"/>
    </w:pPr>
    <w:rPr>
      <w:rFonts w:ascii="Arial" w:hAnsi="Arial"/>
      <w:sz w:val="20"/>
      <w:szCs w:val="24"/>
    </w:rPr>
  </w:style>
  <w:style w:type="paragraph" w:styleId="Titulek">
    <w:name w:val="caption"/>
    <w:basedOn w:val="Normln"/>
    <w:next w:val="Normln"/>
    <w:uiPriority w:val="35"/>
    <w:semiHidden/>
    <w:unhideWhenUsed/>
    <w:qFormat/>
    <w:rsid w:val="005118F1"/>
    <w:pPr>
      <w:spacing w:before="0" w:after="200"/>
    </w:pPr>
    <w:rPr>
      <w:i/>
      <w:iCs/>
      <w:color w:val="1F497D" w:themeColor="text2"/>
      <w:sz w:val="18"/>
      <w:szCs w:val="18"/>
    </w:rPr>
  </w:style>
  <w:style w:type="paragraph" w:styleId="Seznamobrzk">
    <w:name w:val="table of figures"/>
    <w:basedOn w:val="Normln"/>
    <w:next w:val="Normln"/>
    <w:uiPriority w:val="99"/>
    <w:semiHidden/>
    <w:unhideWhenUsed/>
    <w:rsid w:val="005118F1"/>
    <w:pPr>
      <w:spacing w:after="0"/>
    </w:pPr>
  </w:style>
  <w:style w:type="paragraph" w:styleId="slovanseznam">
    <w:name w:val="List Number"/>
    <w:basedOn w:val="Normln"/>
    <w:unhideWhenUsed/>
    <w:rsid w:val="005118F1"/>
    <w:pPr>
      <w:numPr>
        <w:numId w:val="8"/>
      </w:numPr>
      <w:contextualSpacing/>
    </w:pPr>
  </w:style>
  <w:style w:type="paragraph" w:styleId="slovanseznam2">
    <w:name w:val="List Number 2"/>
    <w:basedOn w:val="Normln"/>
    <w:uiPriority w:val="99"/>
    <w:semiHidden/>
    <w:unhideWhenUsed/>
    <w:rsid w:val="005118F1"/>
    <w:pPr>
      <w:numPr>
        <w:numId w:val="9"/>
      </w:numPr>
      <w:contextualSpacing/>
    </w:pPr>
  </w:style>
  <w:style w:type="paragraph" w:styleId="slovanseznam3">
    <w:name w:val="List Number 3"/>
    <w:basedOn w:val="Normln"/>
    <w:uiPriority w:val="99"/>
    <w:semiHidden/>
    <w:unhideWhenUsed/>
    <w:rsid w:val="005118F1"/>
    <w:pPr>
      <w:numPr>
        <w:numId w:val="10"/>
      </w:numPr>
      <w:contextualSpacing/>
    </w:pPr>
  </w:style>
  <w:style w:type="paragraph" w:styleId="slovanseznam4">
    <w:name w:val="List Number 4"/>
    <w:basedOn w:val="Normln"/>
    <w:uiPriority w:val="99"/>
    <w:semiHidden/>
    <w:unhideWhenUsed/>
    <w:rsid w:val="005118F1"/>
    <w:pPr>
      <w:numPr>
        <w:numId w:val="11"/>
      </w:numPr>
      <w:contextualSpacing/>
    </w:pPr>
  </w:style>
  <w:style w:type="paragraph" w:customStyle="1" w:styleId="ListDash1">
    <w:name w:val="List Dash 1"/>
    <w:basedOn w:val="Normln"/>
    <w:rsid w:val="00242822"/>
    <w:pPr>
      <w:ind w:left="1134"/>
    </w:pPr>
    <w:rPr>
      <w:rFonts w:eastAsia="Times New Roman"/>
      <w:noProof/>
    </w:rPr>
  </w:style>
  <w:style w:type="paragraph" w:customStyle="1" w:styleId="ListDash2">
    <w:name w:val="List Dash 2"/>
    <w:basedOn w:val="Normln"/>
    <w:rsid w:val="006A5B18"/>
    <w:pPr>
      <w:numPr>
        <w:numId w:val="13"/>
      </w:numPr>
    </w:pPr>
    <w:rPr>
      <w:rFonts w:eastAsia="Times New Roman"/>
    </w:rPr>
  </w:style>
  <w:style w:type="paragraph" w:customStyle="1" w:styleId="ListNumberLevel2">
    <w:name w:val="List Number (Level 2)"/>
    <w:basedOn w:val="Normln"/>
    <w:rsid w:val="006A5B18"/>
    <w:pPr>
      <w:tabs>
        <w:tab w:val="num" w:pos="1417"/>
      </w:tabs>
      <w:ind w:left="1417" w:hanging="708"/>
    </w:pPr>
    <w:rPr>
      <w:rFonts w:eastAsia="Times New Roman"/>
    </w:rPr>
  </w:style>
  <w:style w:type="paragraph" w:customStyle="1" w:styleId="ListNumberLevel3">
    <w:name w:val="List Number (Level 3)"/>
    <w:basedOn w:val="Normln"/>
    <w:rsid w:val="007A40BE"/>
    <w:pPr>
      <w:numPr>
        <w:ilvl w:val="2"/>
        <w:numId w:val="14"/>
      </w:numPr>
      <w:tabs>
        <w:tab w:val="clear" w:pos="2126"/>
        <w:tab w:val="num" w:pos="1843"/>
      </w:tabs>
    </w:pPr>
    <w:rPr>
      <w:rFonts w:eastAsia="Times New Roman"/>
      <w:noProof/>
    </w:rPr>
  </w:style>
  <w:style w:type="paragraph" w:customStyle="1" w:styleId="ListNumberLevel4">
    <w:name w:val="List Number (Level 4)"/>
    <w:basedOn w:val="Normln"/>
    <w:rsid w:val="006A5B18"/>
    <w:pPr>
      <w:tabs>
        <w:tab w:val="num" w:pos="2835"/>
      </w:tabs>
      <w:ind w:left="2835" w:hanging="709"/>
    </w:pPr>
    <w:rPr>
      <w:rFonts w:eastAsia="Times New Roman"/>
    </w:rPr>
  </w:style>
  <w:style w:type="paragraph" w:styleId="Textvysvtlivek">
    <w:name w:val="endnote text"/>
    <w:basedOn w:val="Normln"/>
    <w:link w:val="TextvysvtlivekChar"/>
    <w:uiPriority w:val="99"/>
    <w:semiHidden/>
    <w:unhideWhenUsed/>
    <w:rsid w:val="007A20D4"/>
    <w:pPr>
      <w:spacing w:before="0" w:after="0"/>
    </w:pPr>
    <w:rPr>
      <w:sz w:val="20"/>
      <w:szCs w:val="20"/>
    </w:rPr>
  </w:style>
  <w:style w:type="character" w:customStyle="1" w:styleId="TextvysvtlivekChar">
    <w:name w:val="Text vysvětlivek Char"/>
    <w:basedOn w:val="Standardnpsmoodstavce"/>
    <w:link w:val="Textvysvtlivek"/>
    <w:uiPriority w:val="99"/>
    <w:semiHidden/>
    <w:rsid w:val="007A20D4"/>
    <w:rPr>
      <w:rFonts w:ascii="Times New Roman" w:hAnsi="Times New Roman" w:cs="Times New Roman"/>
      <w:sz w:val="20"/>
      <w:szCs w:val="20"/>
      <w:lang w:val="cs-CZ"/>
    </w:rPr>
  </w:style>
  <w:style w:type="character" w:styleId="Odkaznavysvtlivky">
    <w:name w:val="endnote reference"/>
    <w:basedOn w:val="Standardnpsmoodstavce"/>
    <w:uiPriority w:val="99"/>
    <w:semiHidden/>
    <w:unhideWhenUsed/>
    <w:rsid w:val="007A20D4"/>
    <w:rPr>
      <w:vertAlign w:val="superscript"/>
    </w:rPr>
  </w:style>
  <w:style w:type="paragraph" w:styleId="Normlnodsazen">
    <w:name w:val="Normal Indent"/>
    <w:basedOn w:val="Normln"/>
    <w:uiPriority w:val="99"/>
    <w:unhideWhenUsed/>
    <w:rsid w:val="009A1FC5"/>
    <w:pPr>
      <w:ind w:left="720"/>
    </w:pPr>
  </w:style>
  <w:style w:type="character" w:customStyle="1" w:styleId="st1">
    <w:name w:val="st1"/>
    <w:basedOn w:val="Standardnpsmoodstavce"/>
    <w:rsid w:val="00B76A88"/>
  </w:style>
  <w:style w:type="character" w:customStyle="1" w:styleId="highlight">
    <w:name w:val="highlight"/>
    <w:basedOn w:val="Standardnpsmoodstavce"/>
    <w:rsid w:val="00B76A88"/>
    <w:rPr>
      <w:shd w:val="clear" w:color="auto" w:fill="auto"/>
    </w:rPr>
  </w:style>
  <w:style w:type="character" w:styleId="Siln">
    <w:name w:val="Strong"/>
    <w:basedOn w:val="Standardnpsmoodstavce"/>
    <w:uiPriority w:val="22"/>
    <w:qFormat/>
    <w:rsid w:val="0009563A"/>
    <w:rPr>
      <w:b/>
      <w:bCs/>
    </w:rPr>
  </w:style>
  <w:style w:type="paragraph" w:styleId="Zhlav">
    <w:name w:val="header"/>
    <w:basedOn w:val="Normln"/>
    <w:link w:val="ZhlavChar"/>
    <w:uiPriority w:val="99"/>
    <w:unhideWhenUsed/>
    <w:rsid w:val="00DA02CA"/>
    <w:pPr>
      <w:tabs>
        <w:tab w:val="center" w:pos="4535"/>
        <w:tab w:val="right" w:pos="9071"/>
      </w:tabs>
      <w:spacing w:before="0"/>
    </w:pPr>
    <w:rPr>
      <w:lang w:eastAsia="en-US" w:bidi="ar-SA"/>
    </w:rPr>
  </w:style>
  <w:style w:type="character" w:customStyle="1" w:styleId="ZhlavChar">
    <w:name w:val="Záhlaví Char"/>
    <w:basedOn w:val="Standardnpsmoodstavce"/>
    <w:link w:val="Zhlav"/>
    <w:uiPriority w:val="99"/>
    <w:rsid w:val="00DA02CA"/>
    <w:rPr>
      <w:rFonts w:ascii="Times New Roman" w:hAnsi="Times New Roman" w:cs="Times New Roman"/>
      <w:sz w:val="24"/>
      <w:lang w:eastAsia="en-US" w:bidi="ar-SA"/>
    </w:rPr>
  </w:style>
  <w:style w:type="paragraph" w:styleId="Zpat">
    <w:name w:val="footer"/>
    <w:basedOn w:val="Normln"/>
    <w:link w:val="ZpatChar"/>
    <w:uiPriority w:val="99"/>
    <w:unhideWhenUsed/>
    <w:rsid w:val="00DA02CA"/>
    <w:pPr>
      <w:tabs>
        <w:tab w:val="center" w:pos="4535"/>
        <w:tab w:val="right" w:pos="9071"/>
        <w:tab w:val="right" w:pos="9921"/>
      </w:tabs>
      <w:spacing w:before="360" w:after="0"/>
      <w:ind w:left="-850" w:right="-850"/>
      <w:jc w:val="left"/>
    </w:pPr>
    <w:rPr>
      <w:lang w:eastAsia="en-US" w:bidi="ar-SA"/>
    </w:rPr>
  </w:style>
  <w:style w:type="character" w:customStyle="1" w:styleId="ZpatChar">
    <w:name w:val="Zápatí Char"/>
    <w:basedOn w:val="Standardnpsmoodstavce"/>
    <w:link w:val="Zpat"/>
    <w:uiPriority w:val="99"/>
    <w:rsid w:val="00DA02CA"/>
    <w:rPr>
      <w:rFonts w:ascii="Times New Roman" w:hAnsi="Times New Roman" w:cs="Times New Roman"/>
      <w:sz w:val="24"/>
      <w:lang w:eastAsia="en-US" w:bidi="ar-SA"/>
    </w:rPr>
  </w:style>
  <w:style w:type="paragraph" w:styleId="Textpoznpodarou">
    <w:name w:val="footnote text"/>
    <w:basedOn w:val="Normln"/>
    <w:link w:val="TextpoznpodarouChar"/>
    <w:uiPriority w:val="99"/>
    <w:semiHidden/>
    <w:unhideWhenUsed/>
    <w:rsid w:val="00877878"/>
    <w:pPr>
      <w:spacing w:before="0" w:after="0"/>
      <w:ind w:left="720" w:hanging="720"/>
    </w:pPr>
    <w:rPr>
      <w:sz w:val="20"/>
      <w:szCs w:val="20"/>
    </w:rPr>
  </w:style>
  <w:style w:type="character" w:customStyle="1" w:styleId="TextpoznpodarouChar">
    <w:name w:val="Text pozn. pod čarou Char"/>
    <w:basedOn w:val="Standardnpsmoodstavce"/>
    <w:link w:val="Textpoznpodarou"/>
    <w:uiPriority w:val="99"/>
    <w:semiHidden/>
    <w:rsid w:val="00877878"/>
    <w:rPr>
      <w:rFonts w:ascii="Times New Roman" w:hAnsi="Times New Roman" w:cs="Times New Roman"/>
      <w:sz w:val="20"/>
      <w:szCs w:val="20"/>
      <w:shd w:val="clear" w:color="auto" w:fill="auto"/>
      <w:lang w:val="en-GB"/>
    </w:rPr>
  </w:style>
  <w:style w:type="character" w:customStyle="1" w:styleId="Nadpis1Char">
    <w:name w:val="Nadpis 1 Char"/>
    <w:basedOn w:val="Standardnpsmoodstavce"/>
    <w:link w:val="Nadpis1"/>
    <w:uiPriority w:val="9"/>
    <w:rsid w:val="00877878"/>
    <w:rPr>
      <w:rFonts w:ascii="Times New Roman" w:eastAsiaTheme="majorEastAsia" w:hAnsi="Times New Roman" w:cs="Times New Roman"/>
      <w:b/>
      <w:bCs/>
      <w:smallCaps/>
      <w:sz w:val="24"/>
      <w:szCs w:val="28"/>
      <w:lang w:val="en-GB"/>
    </w:rPr>
  </w:style>
  <w:style w:type="character" w:customStyle="1" w:styleId="Nadpis2Char">
    <w:name w:val="Nadpis 2 Char"/>
    <w:basedOn w:val="Standardnpsmoodstavce"/>
    <w:link w:val="Nadpis2"/>
    <w:uiPriority w:val="9"/>
    <w:semiHidden/>
    <w:rsid w:val="00877878"/>
    <w:rPr>
      <w:rFonts w:ascii="Times New Roman" w:eastAsiaTheme="majorEastAsia" w:hAnsi="Times New Roman" w:cs="Times New Roman"/>
      <w:b/>
      <w:bCs/>
      <w:sz w:val="24"/>
      <w:szCs w:val="26"/>
      <w:lang w:val="en-GB"/>
    </w:rPr>
  </w:style>
  <w:style w:type="character" w:customStyle="1" w:styleId="Nadpis3Char">
    <w:name w:val="Nadpis 3 Char"/>
    <w:basedOn w:val="Standardnpsmoodstavce"/>
    <w:link w:val="Nadpis3"/>
    <w:uiPriority w:val="9"/>
    <w:semiHidden/>
    <w:rsid w:val="00877878"/>
    <w:rPr>
      <w:rFonts w:ascii="Times New Roman" w:eastAsiaTheme="majorEastAsia" w:hAnsi="Times New Roman" w:cs="Times New Roman"/>
      <w:bCs/>
      <w:i/>
      <w:sz w:val="24"/>
      <w:lang w:val="en-GB"/>
    </w:rPr>
  </w:style>
  <w:style w:type="character" w:customStyle="1" w:styleId="Nadpis4Char">
    <w:name w:val="Nadpis 4 Char"/>
    <w:basedOn w:val="Standardnpsmoodstavce"/>
    <w:link w:val="Nadpis4"/>
    <w:uiPriority w:val="9"/>
    <w:semiHidden/>
    <w:rsid w:val="00877878"/>
    <w:rPr>
      <w:rFonts w:ascii="Times New Roman" w:eastAsiaTheme="majorEastAsia" w:hAnsi="Times New Roman" w:cs="Times New Roman"/>
      <w:bCs/>
      <w:iCs/>
      <w:sz w:val="24"/>
      <w:lang w:val="en-GB"/>
    </w:rPr>
  </w:style>
  <w:style w:type="paragraph" w:styleId="Nadpisobsahu">
    <w:name w:val="TOC Heading"/>
    <w:basedOn w:val="Normln"/>
    <w:next w:val="Normln"/>
    <w:uiPriority w:val="39"/>
    <w:semiHidden/>
    <w:unhideWhenUsed/>
    <w:qFormat/>
    <w:rsid w:val="00877878"/>
    <w:pPr>
      <w:spacing w:after="240"/>
      <w:jc w:val="center"/>
    </w:pPr>
    <w:rPr>
      <w:b/>
      <w:sz w:val="28"/>
    </w:rPr>
  </w:style>
  <w:style w:type="paragraph" w:styleId="Obsah1">
    <w:name w:val="toc 1"/>
    <w:basedOn w:val="Normln"/>
    <w:next w:val="Normln"/>
    <w:uiPriority w:val="39"/>
    <w:semiHidden/>
    <w:unhideWhenUsed/>
    <w:rsid w:val="00877878"/>
    <w:pPr>
      <w:tabs>
        <w:tab w:val="right" w:leader="dot" w:pos="9071"/>
      </w:tabs>
      <w:spacing w:before="60"/>
      <w:ind w:left="850" w:hanging="850"/>
      <w:jc w:val="left"/>
    </w:pPr>
  </w:style>
  <w:style w:type="paragraph" w:styleId="Obsah2">
    <w:name w:val="toc 2"/>
    <w:basedOn w:val="Normln"/>
    <w:next w:val="Normln"/>
    <w:uiPriority w:val="39"/>
    <w:semiHidden/>
    <w:unhideWhenUsed/>
    <w:rsid w:val="00877878"/>
    <w:pPr>
      <w:tabs>
        <w:tab w:val="right" w:leader="dot" w:pos="9071"/>
      </w:tabs>
      <w:spacing w:before="60"/>
      <w:ind w:left="850" w:hanging="850"/>
      <w:jc w:val="left"/>
    </w:pPr>
  </w:style>
  <w:style w:type="paragraph" w:styleId="Obsah3">
    <w:name w:val="toc 3"/>
    <w:basedOn w:val="Normln"/>
    <w:next w:val="Normln"/>
    <w:uiPriority w:val="39"/>
    <w:semiHidden/>
    <w:unhideWhenUsed/>
    <w:rsid w:val="00877878"/>
    <w:pPr>
      <w:tabs>
        <w:tab w:val="right" w:leader="dot" w:pos="9071"/>
      </w:tabs>
      <w:spacing w:before="60"/>
      <w:ind w:left="850" w:hanging="850"/>
      <w:jc w:val="left"/>
    </w:pPr>
  </w:style>
  <w:style w:type="paragraph" w:styleId="Obsah4">
    <w:name w:val="toc 4"/>
    <w:basedOn w:val="Normln"/>
    <w:next w:val="Normln"/>
    <w:uiPriority w:val="39"/>
    <w:semiHidden/>
    <w:unhideWhenUsed/>
    <w:rsid w:val="00877878"/>
    <w:pPr>
      <w:tabs>
        <w:tab w:val="right" w:leader="dot" w:pos="9071"/>
      </w:tabs>
      <w:spacing w:before="60"/>
      <w:ind w:left="850" w:hanging="850"/>
      <w:jc w:val="left"/>
    </w:pPr>
  </w:style>
  <w:style w:type="paragraph" w:styleId="Obsah5">
    <w:name w:val="toc 5"/>
    <w:basedOn w:val="Normln"/>
    <w:next w:val="Normln"/>
    <w:uiPriority w:val="39"/>
    <w:semiHidden/>
    <w:unhideWhenUsed/>
    <w:rsid w:val="00877878"/>
    <w:pPr>
      <w:tabs>
        <w:tab w:val="right" w:leader="dot" w:pos="9071"/>
      </w:tabs>
      <w:spacing w:before="300"/>
      <w:jc w:val="left"/>
    </w:pPr>
  </w:style>
  <w:style w:type="paragraph" w:styleId="Obsah6">
    <w:name w:val="toc 6"/>
    <w:basedOn w:val="Normln"/>
    <w:next w:val="Normln"/>
    <w:uiPriority w:val="39"/>
    <w:semiHidden/>
    <w:unhideWhenUsed/>
    <w:rsid w:val="00877878"/>
    <w:pPr>
      <w:tabs>
        <w:tab w:val="right" w:leader="dot" w:pos="9071"/>
      </w:tabs>
      <w:spacing w:before="240"/>
      <w:jc w:val="left"/>
    </w:pPr>
  </w:style>
  <w:style w:type="paragraph" w:styleId="Obsah7">
    <w:name w:val="toc 7"/>
    <w:basedOn w:val="Normln"/>
    <w:next w:val="Normln"/>
    <w:uiPriority w:val="39"/>
    <w:semiHidden/>
    <w:unhideWhenUsed/>
    <w:rsid w:val="00877878"/>
    <w:pPr>
      <w:tabs>
        <w:tab w:val="right" w:leader="dot" w:pos="9071"/>
      </w:tabs>
      <w:spacing w:before="180"/>
      <w:jc w:val="left"/>
    </w:pPr>
  </w:style>
  <w:style w:type="paragraph" w:styleId="Obsah8">
    <w:name w:val="toc 8"/>
    <w:basedOn w:val="Normln"/>
    <w:next w:val="Normln"/>
    <w:uiPriority w:val="39"/>
    <w:semiHidden/>
    <w:unhideWhenUsed/>
    <w:rsid w:val="00877878"/>
    <w:pPr>
      <w:tabs>
        <w:tab w:val="right" w:leader="dot" w:pos="9071"/>
      </w:tabs>
      <w:jc w:val="left"/>
    </w:pPr>
  </w:style>
  <w:style w:type="paragraph" w:styleId="Obsah9">
    <w:name w:val="toc 9"/>
    <w:basedOn w:val="Normln"/>
    <w:next w:val="Normln"/>
    <w:uiPriority w:val="39"/>
    <w:semiHidden/>
    <w:unhideWhenUsed/>
    <w:rsid w:val="00877878"/>
    <w:pPr>
      <w:tabs>
        <w:tab w:val="right" w:leader="dot" w:pos="9071"/>
      </w:tabs>
    </w:pPr>
  </w:style>
  <w:style w:type="paragraph" w:customStyle="1" w:styleId="HeaderLandscape">
    <w:name w:val="HeaderLandscape"/>
    <w:basedOn w:val="Normln"/>
    <w:rsid w:val="00DA02CA"/>
    <w:pPr>
      <w:tabs>
        <w:tab w:val="center" w:pos="7285"/>
        <w:tab w:val="right" w:pos="14003"/>
      </w:tabs>
      <w:spacing w:before="0"/>
    </w:pPr>
    <w:rPr>
      <w:lang w:eastAsia="en-US" w:bidi="ar-SA"/>
    </w:rPr>
  </w:style>
  <w:style w:type="paragraph" w:customStyle="1" w:styleId="FooterLandscape">
    <w:name w:val="FooterLandscape"/>
    <w:basedOn w:val="Normln"/>
    <w:rsid w:val="00DA02CA"/>
    <w:pPr>
      <w:tabs>
        <w:tab w:val="center" w:pos="7285"/>
        <w:tab w:val="center" w:pos="10913"/>
        <w:tab w:val="right" w:pos="15137"/>
      </w:tabs>
      <w:spacing w:before="360" w:after="0"/>
      <w:ind w:left="-567" w:right="-567"/>
      <w:jc w:val="left"/>
    </w:pPr>
    <w:rPr>
      <w:lang w:eastAsia="en-US" w:bidi="ar-SA"/>
    </w:rPr>
  </w:style>
  <w:style w:type="character" w:styleId="Znakapoznpodarou">
    <w:name w:val="footnote reference"/>
    <w:basedOn w:val="Standardnpsmoodstavce"/>
    <w:uiPriority w:val="99"/>
    <w:semiHidden/>
    <w:unhideWhenUsed/>
    <w:rsid w:val="00877878"/>
    <w:rPr>
      <w:shd w:val="clear" w:color="auto" w:fill="auto"/>
      <w:vertAlign w:val="superscript"/>
    </w:rPr>
  </w:style>
  <w:style w:type="paragraph" w:customStyle="1" w:styleId="HeaderSensitivity">
    <w:name w:val="Header Sensitivity"/>
    <w:basedOn w:val="Normln"/>
    <w:rsid w:val="00DA02CA"/>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ln"/>
    <w:rsid w:val="00DA02CA"/>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ln"/>
    <w:rsid w:val="00877878"/>
    <w:pPr>
      <w:ind w:left="850"/>
    </w:pPr>
  </w:style>
  <w:style w:type="paragraph" w:customStyle="1" w:styleId="Text2">
    <w:name w:val="Text 2"/>
    <w:basedOn w:val="Normln"/>
    <w:rsid w:val="00877878"/>
    <w:pPr>
      <w:ind w:left="1417"/>
    </w:pPr>
  </w:style>
  <w:style w:type="paragraph" w:customStyle="1" w:styleId="Text3">
    <w:name w:val="Text 3"/>
    <w:basedOn w:val="Normln"/>
    <w:rsid w:val="00877878"/>
    <w:pPr>
      <w:ind w:left="1984"/>
    </w:pPr>
  </w:style>
  <w:style w:type="paragraph" w:customStyle="1" w:styleId="Text4">
    <w:name w:val="Text 4"/>
    <w:basedOn w:val="Normln"/>
    <w:rsid w:val="00877878"/>
    <w:pPr>
      <w:ind w:left="2551"/>
    </w:pPr>
  </w:style>
  <w:style w:type="paragraph" w:customStyle="1" w:styleId="NormalCentered">
    <w:name w:val="Normal Centered"/>
    <w:basedOn w:val="Normln"/>
    <w:rsid w:val="00877878"/>
    <w:pPr>
      <w:jc w:val="center"/>
    </w:pPr>
  </w:style>
  <w:style w:type="paragraph" w:customStyle="1" w:styleId="NormalLeft">
    <w:name w:val="Normal Left"/>
    <w:basedOn w:val="Normln"/>
    <w:rsid w:val="00877878"/>
    <w:pPr>
      <w:jc w:val="left"/>
    </w:pPr>
  </w:style>
  <w:style w:type="paragraph" w:customStyle="1" w:styleId="NormalRight">
    <w:name w:val="Normal Right"/>
    <w:basedOn w:val="Normln"/>
    <w:rsid w:val="00877878"/>
    <w:pPr>
      <w:jc w:val="right"/>
    </w:pPr>
  </w:style>
  <w:style w:type="paragraph" w:customStyle="1" w:styleId="QuotedText">
    <w:name w:val="Quoted Text"/>
    <w:basedOn w:val="Normln"/>
    <w:rsid w:val="00877878"/>
    <w:pPr>
      <w:ind w:left="1417"/>
    </w:pPr>
  </w:style>
  <w:style w:type="paragraph" w:customStyle="1" w:styleId="Point0">
    <w:name w:val="Point 0"/>
    <w:basedOn w:val="Normln"/>
    <w:rsid w:val="00877878"/>
    <w:pPr>
      <w:ind w:left="850" w:hanging="850"/>
    </w:pPr>
  </w:style>
  <w:style w:type="paragraph" w:customStyle="1" w:styleId="Point1">
    <w:name w:val="Point 1"/>
    <w:basedOn w:val="Normln"/>
    <w:rsid w:val="00877878"/>
    <w:pPr>
      <w:ind w:left="1417" w:hanging="567"/>
    </w:pPr>
  </w:style>
  <w:style w:type="paragraph" w:customStyle="1" w:styleId="Point2">
    <w:name w:val="Point 2"/>
    <w:basedOn w:val="Normln"/>
    <w:rsid w:val="00877878"/>
    <w:pPr>
      <w:ind w:left="1984" w:hanging="567"/>
    </w:pPr>
  </w:style>
  <w:style w:type="paragraph" w:customStyle="1" w:styleId="Point3">
    <w:name w:val="Point 3"/>
    <w:basedOn w:val="Normln"/>
    <w:rsid w:val="00877878"/>
    <w:pPr>
      <w:ind w:left="2551" w:hanging="567"/>
    </w:pPr>
  </w:style>
  <w:style w:type="paragraph" w:customStyle="1" w:styleId="Point4">
    <w:name w:val="Point 4"/>
    <w:basedOn w:val="Normln"/>
    <w:rsid w:val="00877878"/>
    <w:pPr>
      <w:ind w:left="3118" w:hanging="567"/>
    </w:pPr>
  </w:style>
  <w:style w:type="paragraph" w:customStyle="1" w:styleId="Tiret0">
    <w:name w:val="Tiret 0"/>
    <w:basedOn w:val="Point0"/>
    <w:rsid w:val="00877878"/>
    <w:pPr>
      <w:numPr>
        <w:numId w:val="28"/>
      </w:numPr>
    </w:pPr>
  </w:style>
  <w:style w:type="paragraph" w:customStyle="1" w:styleId="Tiret1">
    <w:name w:val="Tiret 1"/>
    <w:basedOn w:val="Point1"/>
    <w:rsid w:val="00877878"/>
    <w:pPr>
      <w:numPr>
        <w:numId w:val="29"/>
      </w:numPr>
    </w:pPr>
  </w:style>
  <w:style w:type="paragraph" w:customStyle="1" w:styleId="Tiret2">
    <w:name w:val="Tiret 2"/>
    <w:basedOn w:val="Point2"/>
    <w:rsid w:val="00877878"/>
    <w:pPr>
      <w:numPr>
        <w:numId w:val="30"/>
      </w:numPr>
    </w:pPr>
  </w:style>
  <w:style w:type="paragraph" w:customStyle="1" w:styleId="Tiret3">
    <w:name w:val="Tiret 3"/>
    <w:basedOn w:val="Point3"/>
    <w:rsid w:val="00877878"/>
    <w:pPr>
      <w:numPr>
        <w:numId w:val="31"/>
      </w:numPr>
    </w:pPr>
  </w:style>
  <w:style w:type="paragraph" w:customStyle="1" w:styleId="Tiret4">
    <w:name w:val="Tiret 4"/>
    <w:basedOn w:val="Point4"/>
    <w:rsid w:val="00877878"/>
    <w:pPr>
      <w:numPr>
        <w:numId w:val="32"/>
      </w:numPr>
    </w:pPr>
  </w:style>
  <w:style w:type="paragraph" w:customStyle="1" w:styleId="PointDouble0">
    <w:name w:val="PointDouble 0"/>
    <w:basedOn w:val="Normln"/>
    <w:rsid w:val="00877878"/>
    <w:pPr>
      <w:tabs>
        <w:tab w:val="left" w:pos="850"/>
      </w:tabs>
      <w:ind w:left="1417" w:hanging="1417"/>
    </w:pPr>
  </w:style>
  <w:style w:type="paragraph" w:customStyle="1" w:styleId="PointDouble1">
    <w:name w:val="PointDouble 1"/>
    <w:basedOn w:val="Normln"/>
    <w:rsid w:val="00877878"/>
    <w:pPr>
      <w:tabs>
        <w:tab w:val="left" w:pos="1417"/>
      </w:tabs>
      <w:ind w:left="1984" w:hanging="1134"/>
    </w:pPr>
  </w:style>
  <w:style w:type="paragraph" w:customStyle="1" w:styleId="PointDouble2">
    <w:name w:val="PointDouble 2"/>
    <w:basedOn w:val="Normln"/>
    <w:rsid w:val="00877878"/>
    <w:pPr>
      <w:tabs>
        <w:tab w:val="left" w:pos="1984"/>
      </w:tabs>
      <w:ind w:left="2551" w:hanging="1134"/>
    </w:pPr>
  </w:style>
  <w:style w:type="paragraph" w:customStyle="1" w:styleId="PointDouble3">
    <w:name w:val="PointDouble 3"/>
    <w:basedOn w:val="Normln"/>
    <w:rsid w:val="00877878"/>
    <w:pPr>
      <w:tabs>
        <w:tab w:val="left" w:pos="2551"/>
      </w:tabs>
      <w:ind w:left="3118" w:hanging="1134"/>
    </w:pPr>
  </w:style>
  <w:style w:type="paragraph" w:customStyle="1" w:styleId="PointDouble4">
    <w:name w:val="PointDouble 4"/>
    <w:basedOn w:val="Normln"/>
    <w:rsid w:val="00877878"/>
    <w:pPr>
      <w:tabs>
        <w:tab w:val="left" w:pos="3118"/>
      </w:tabs>
      <w:ind w:left="3685" w:hanging="1134"/>
    </w:pPr>
  </w:style>
  <w:style w:type="paragraph" w:customStyle="1" w:styleId="PointTriple0">
    <w:name w:val="PointTriple 0"/>
    <w:basedOn w:val="Normln"/>
    <w:rsid w:val="00877878"/>
    <w:pPr>
      <w:tabs>
        <w:tab w:val="left" w:pos="850"/>
        <w:tab w:val="left" w:pos="1417"/>
      </w:tabs>
      <w:ind w:left="1984" w:hanging="1984"/>
    </w:pPr>
  </w:style>
  <w:style w:type="paragraph" w:customStyle="1" w:styleId="PointTriple1">
    <w:name w:val="PointTriple 1"/>
    <w:basedOn w:val="Normln"/>
    <w:rsid w:val="00877878"/>
    <w:pPr>
      <w:tabs>
        <w:tab w:val="left" w:pos="1417"/>
        <w:tab w:val="left" w:pos="1984"/>
      </w:tabs>
      <w:ind w:left="2551" w:hanging="1701"/>
    </w:pPr>
  </w:style>
  <w:style w:type="paragraph" w:customStyle="1" w:styleId="PointTriple2">
    <w:name w:val="PointTriple 2"/>
    <w:basedOn w:val="Normln"/>
    <w:rsid w:val="00877878"/>
    <w:pPr>
      <w:tabs>
        <w:tab w:val="left" w:pos="1984"/>
        <w:tab w:val="left" w:pos="2551"/>
      </w:tabs>
      <w:ind w:left="3118" w:hanging="1701"/>
    </w:pPr>
  </w:style>
  <w:style w:type="paragraph" w:customStyle="1" w:styleId="PointTriple3">
    <w:name w:val="PointTriple 3"/>
    <w:basedOn w:val="Normln"/>
    <w:rsid w:val="00877878"/>
    <w:pPr>
      <w:tabs>
        <w:tab w:val="left" w:pos="2551"/>
        <w:tab w:val="left" w:pos="3118"/>
      </w:tabs>
      <w:ind w:left="3685" w:hanging="1701"/>
    </w:pPr>
  </w:style>
  <w:style w:type="paragraph" w:customStyle="1" w:styleId="PointTriple4">
    <w:name w:val="PointTriple 4"/>
    <w:basedOn w:val="Normln"/>
    <w:rsid w:val="00877878"/>
    <w:pPr>
      <w:tabs>
        <w:tab w:val="left" w:pos="3118"/>
        <w:tab w:val="left" w:pos="3685"/>
      </w:tabs>
      <w:ind w:left="4252" w:hanging="1701"/>
    </w:pPr>
  </w:style>
  <w:style w:type="paragraph" w:customStyle="1" w:styleId="NumPar1">
    <w:name w:val="NumPar 1"/>
    <w:basedOn w:val="Normln"/>
    <w:next w:val="Text1"/>
    <w:rsid w:val="00877878"/>
    <w:pPr>
      <w:numPr>
        <w:numId w:val="33"/>
      </w:numPr>
    </w:pPr>
  </w:style>
  <w:style w:type="paragraph" w:customStyle="1" w:styleId="NumPar2">
    <w:name w:val="NumPar 2"/>
    <w:basedOn w:val="Normln"/>
    <w:next w:val="Text1"/>
    <w:rsid w:val="00877878"/>
    <w:pPr>
      <w:numPr>
        <w:ilvl w:val="1"/>
        <w:numId w:val="33"/>
      </w:numPr>
    </w:pPr>
  </w:style>
  <w:style w:type="paragraph" w:customStyle="1" w:styleId="NumPar3">
    <w:name w:val="NumPar 3"/>
    <w:basedOn w:val="Normln"/>
    <w:next w:val="Text1"/>
    <w:rsid w:val="00877878"/>
    <w:pPr>
      <w:numPr>
        <w:ilvl w:val="2"/>
        <w:numId w:val="33"/>
      </w:numPr>
    </w:pPr>
  </w:style>
  <w:style w:type="paragraph" w:customStyle="1" w:styleId="NumPar4">
    <w:name w:val="NumPar 4"/>
    <w:basedOn w:val="Normln"/>
    <w:next w:val="Text1"/>
    <w:rsid w:val="00877878"/>
    <w:pPr>
      <w:numPr>
        <w:ilvl w:val="3"/>
        <w:numId w:val="33"/>
      </w:numPr>
    </w:pPr>
  </w:style>
  <w:style w:type="paragraph" w:customStyle="1" w:styleId="ManualNumPar1">
    <w:name w:val="Manual NumPar 1"/>
    <w:basedOn w:val="Normln"/>
    <w:next w:val="Text1"/>
    <w:rsid w:val="00877878"/>
    <w:pPr>
      <w:ind w:left="850" w:hanging="850"/>
    </w:pPr>
  </w:style>
  <w:style w:type="paragraph" w:customStyle="1" w:styleId="ManualNumPar2">
    <w:name w:val="Manual NumPar 2"/>
    <w:basedOn w:val="Normln"/>
    <w:next w:val="Text1"/>
    <w:rsid w:val="00877878"/>
    <w:pPr>
      <w:ind w:left="850" w:hanging="850"/>
    </w:pPr>
  </w:style>
  <w:style w:type="paragraph" w:customStyle="1" w:styleId="ManualNumPar3">
    <w:name w:val="Manual NumPar 3"/>
    <w:basedOn w:val="Normln"/>
    <w:next w:val="Text1"/>
    <w:rsid w:val="00877878"/>
    <w:pPr>
      <w:ind w:left="850" w:hanging="850"/>
    </w:pPr>
  </w:style>
  <w:style w:type="paragraph" w:customStyle="1" w:styleId="ManualNumPar4">
    <w:name w:val="Manual NumPar 4"/>
    <w:basedOn w:val="Normln"/>
    <w:next w:val="Text1"/>
    <w:rsid w:val="00877878"/>
    <w:pPr>
      <w:ind w:left="850" w:hanging="850"/>
    </w:pPr>
  </w:style>
  <w:style w:type="paragraph" w:customStyle="1" w:styleId="QuotedNumPar">
    <w:name w:val="Quoted NumPar"/>
    <w:basedOn w:val="Normln"/>
    <w:rsid w:val="00877878"/>
    <w:pPr>
      <w:ind w:left="1417" w:hanging="567"/>
    </w:pPr>
  </w:style>
  <w:style w:type="paragraph" w:customStyle="1" w:styleId="ManualHeading1">
    <w:name w:val="Manual Heading 1"/>
    <w:basedOn w:val="Normln"/>
    <w:next w:val="Text1"/>
    <w:rsid w:val="00877878"/>
    <w:pPr>
      <w:keepNext/>
      <w:tabs>
        <w:tab w:val="left" w:pos="850"/>
      </w:tabs>
      <w:spacing w:before="360"/>
      <w:ind w:left="850" w:hanging="850"/>
      <w:outlineLvl w:val="0"/>
    </w:pPr>
    <w:rPr>
      <w:b/>
      <w:smallCaps/>
    </w:rPr>
  </w:style>
  <w:style w:type="paragraph" w:customStyle="1" w:styleId="ManualHeading2">
    <w:name w:val="Manual Heading 2"/>
    <w:basedOn w:val="Normln"/>
    <w:next w:val="Text1"/>
    <w:rsid w:val="00877878"/>
    <w:pPr>
      <w:keepNext/>
      <w:tabs>
        <w:tab w:val="left" w:pos="850"/>
      </w:tabs>
      <w:ind w:left="850" w:hanging="850"/>
      <w:outlineLvl w:val="1"/>
    </w:pPr>
    <w:rPr>
      <w:b/>
    </w:rPr>
  </w:style>
  <w:style w:type="paragraph" w:customStyle="1" w:styleId="ManualHeading3">
    <w:name w:val="Manual Heading 3"/>
    <w:basedOn w:val="Normln"/>
    <w:next w:val="Text1"/>
    <w:rsid w:val="00877878"/>
    <w:pPr>
      <w:keepNext/>
      <w:tabs>
        <w:tab w:val="left" w:pos="850"/>
      </w:tabs>
      <w:ind w:left="850" w:hanging="850"/>
      <w:outlineLvl w:val="2"/>
    </w:pPr>
    <w:rPr>
      <w:i/>
    </w:rPr>
  </w:style>
  <w:style w:type="paragraph" w:customStyle="1" w:styleId="ManualHeading4">
    <w:name w:val="Manual Heading 4"/>
    <w:basedOn w:val="Normln"/>
    <w:next w:val="Text1"/>
    <w:rsid w:val="00877878"/>
    <w:pPr>
      <w:keepNext/>
      <w:tabs>
        <w:tab w:val="left" w:pos="850"/>
      </w:tabs>
      <w:ind w:left="850" w:hanging="850"/>
      <w:outlineLvl w:val="3"/>
    </w:pPr>
  </w:style>
  <w:style w:type="paragraph" w:customStyle="1" w:styleId="ChapterTitle">
    <w:name w:val="ChapterTitle"/>
    <w:basedOn w:val="Normln"/>
    <w:next w:val="Normln"/>
    <w:rsid w:val="00877878"/>
    <w:pPr>
      <w:keepNext/>
      <w:spacing w:after="360"/>
      <w:jc w:val="center"/>
    </w:pPr>
    <w:rPr>
      <w:b/>
      <w:sz w:val="32"/>
    </w:rPr>
  </w:style>
  <w:style w:type="paragraph" w:customStyle="1" w:styleId="PartTitle">
    <w:name w:val="PartTitle"/>
    <w:basedOn w:val="Normln"/>
    <w:next w:val="ChapterTitle"/>
    <w:rsid w:val="00877878"/>
    <w:pPr>
      <w:keepNext/>
      <w:pageBreakBefore/>
      <w:spacing w:after="360"/>
      <w:jc w:val="center"/>
    </w:pPr>
    <w:rPr>
      <w:b/>
      <w:sz w:val="36"/>
    </w:rPr>
  </w:style>
  <w:style w:type="paragraph" w:customStyle="1" w:styleId="SectionTitle">
    <w:name w:val="SectionTitle"/>
    <w:basedOn w:val="Normln"/>
    <w:next w:val="Nadpis1"/>
    <w:rsid w:val="00877878"/>
    <w:pPr>
      <w:keepNext/>
      <w:spacing w:after="360"/>
      <w:jc w:val="center"/>
    </w:pPr>
    <w:rPr>
      <w:b/>
      <w:smallCaps/>
      <w:sz w:val="28"/>
    </w:rPr>
  </w:style>
  <w:style w:type="paragraph" w:customStyle="1" w:styleId="TableTitle">
    <w:name w:val="Table Title"/>
    <w:basedOn w:val="Normln"/>
    <w:next w:val="Normln"/>
    <w:rsid w:val="00877878"/>
    <w:pPr>
      <w:jc w:val="center"/>
    </w:pPr>
    <w:rPr>
      <w:b/>
    </w:rPr>
  </w:style>
  <w:style w:type="character" w:customStyle="1" w:styleId="Marker">
    <w:name w:val="Marker"/>
    <w:basedOn w:val="Standardnpsmoodstavce"/>
    <w:rsid w:val="00877878"/>
    <w:rPr>
      <w:color w:val="0000FF"/>
      <w:shd w:val="clear" w:color="auto" w:fill="auto"/>
    </w:rPr>
  </w:style>
  <w:style w:type="character" w:customStyle="1" w:styleId="Marker1">
    <w:name w:val="Marker1"/>
    <w:basedOn w:val="Standardnpsmoodstavce"/>
    <w:rsid w:val="00877878"/>
    <w:rPr>
      <w:color w:val="008000"/>
      <w:shd w:val="clear" w:color="auto" w:fill="auto"/>
    </w:rPr>
  </w:style>
  <w:style w:type="character" w:customStyle="1" w:styleId="Marker2">
    <w:name w:val="Marker2"/>
    <w:basedOn w:val="Standardnpsmoodstavce"/>
    <w:rsid w:val="00877878"/>
    <w:rPr>
      <w:color w:val="FF0000"/>
      <w:shd w:val="clear" w:color="auto" w:fill="auto"/>
    </w:rPr>
  </w:style>
  <w:style w:type="paragraph" w:customStyle="1" w:styleId="Point0number">
    <w:name w:val="Point 0 (number)"/>
    <w:basedOn w:val="Normln"/>
    <w:rsid w:val="00877878"/>
    <w:pPr>
      <w:numPr>
        <w:numId w:val="35"/>
      </w:numPr>
    </w:pPr>
  </w:style>
  <w:style w:type="paragraph" w:customStyle="1" w:styleId="Point1number">
    <w:name w:val="Point 1 (number)"/>
    <w:basedOn w:val="Normln"/>
    <w:rsid w:val="00877878"/>
    <w:pPr>
      <w:numPr>
        <w:ilvl w:val="2"/>
        <w:numId w:val="35"/>
      </w:numPr>
    </w:pPr>
  </w:style>
  <w:style w:type="paragraph" w:customStyle="1" w:styleId="Point2number">
    <w:name w:val="Point 2 (number)"/>
    <w:basedOn w:val="Normln"/>
    <w:rsid w:val="00877878"/>
    <w:pPr>
      <w:numPr>
        <w:ilvl w:val="4"/>
        <w:numId w:val="35"/>
      </w:numPr>
    </w:pPr>
  </w:style>
  <w:style w:type="paragraph" w:customStyle="1" w:styleId="Point3number">
    <w:name w:val="Point 3 (number)"/>
    <w:basedOn w:val="Normln"/>
    <w:rsid w:val="00877878"/>
    <w:pPr>
      <w:numPr>
        <w:ilvl w:val="6"/>
        <w:numId w:val="35"/>
      </w:numPr>
    </w:pPr>
  </w:style>
  <w:style w:type="paragraph" w:customStyle="1" w:styleId="Point0letter">
    <w:name w:val="Point 0 (letter)"/>
    <w:basedOn w:val="Normln"/>
    <w:rsid w:val="00877878"/>
    <w:pPr>
      <w:numPr>
        <w:ilvl w:val="1"/>
        <w:numId w:val="35"/>
      </w:numPr>
    </w:pPr>
  </w:style>
  <w:style w:type="paragraph" w:customStyle="1" w:styleId="Point1letter">
    <w:name w:val="Point 1 (letter)"/>
    <w:basedOn w:val="Normln"/>
    <w:rsid w:val="00877878"/>
    <w:pPr>
      <w:numPr>
        <w:ilvl w:val="3"/>
        <w:numId w:val="35"/>
      </w:numPr>
    </w:pPr>
  </w:style>
  <w:style w:type="paragraph" w:customStyle="1" w:styleId="Point2letter">
    <w:name w:val="Point 2 (letter)"/>
    <w:basedOn w:val="Normln"/>
    <w:rsid w:val="00877878"/>
    <w:pPr>
      <w:numPr>
        <w:ilvl w:val="5"/>
        <w:numId w:val="35"/>
      </w:numPr>
    </w:pPr>
  </w:style>
  <w:style w:type="paragraph" w:customStyle="1" w:styleId="Point3letter">
    <w:name w:val="Point 3 (letter)"/>
    <w:basedOn w:val="Normln"/>
    <w:rsid w:val="00877878"/>
    <w:pPr>
      <w:numPr>
        <w:ilvl w:val="7"/>
        <w:numId w:val="35"/>
      </w:numPr>
    </w:pPr>
  </w:style>
  <w:style w:type="paragraph" w:customStyle="1" w:styleId="Point4letter">
    <w:name w:val="Point 4 (letter)"/>
    <w:basedOn w:val="Normln"/>
    <w:rsid w:val="00877878"/>
    <w:pPr>
      <w:numPr>
        <w:ilvl w:val="8"/>
        <w:numId w:val="35"/>
      </w:numPr>
    </w:pPr>
  </w:style>
  <w:style w:type="paragraph" w:customStyle="1" w:styleId="Bullet0">
    <w:name w:val="Bullet 0"/>
    <w:basedOn w:val="Normln"/>
    <w:rsid w:val="00877878"/>
    <w:pPr>
      <w:numPr>
        <w:numId w:val="36"/>
      </w:numPr>
    </w:pPr>
  </w:style>
  <w:style w:type="paragraph" w:customStyle="1" w:styleId="Bullet1">
    <w:name w:val="Bullet 1"/>
    <w:basedOn w:val="Normln"/>
    <w:rsid w:val="00877878"/>
    <w:pPr>
      <w:numPr>
        <w:numId w:val="37"/>
      </w:numPr>
    </w:pPr>
  </w:style>
  <w:style w:type="paragraph" w:customStyle="1" w:styleId="Bullet2">
    <w:name w:val="Bullet 2"/>
    <w:basedOn w:val="Normln"/>
    <w:rsid w:val="00877878"/>
    <w:pPr>
      <w:numPr>
        <w:numId w:val="38"/>
      </w:numPr>
    </w:pPr>
  </w:style>
  <w:style w:type="paragraph" w:customStyle="1" w:styleId="Bullet3">
    <w:name w:val="Bullet 3"/>
    <w:basedOn w:val="Normln"/>
    <w:rsid w:val="00877878"/>
    <w:pPr>
      <w:numPr>
        <w:numId w:val="39"/>
      </w:numPr>
    </w:pPr>
  </w:style>
  <w:style w:type="paragraph" w:customStyle="1" w:styleId="Bullet4">
    <w:name w:val="Bullet 4"/>
    <w:basedOn w:val="Normln"/>
    <w:rsid w:val="00877878"/>
    <w:pPr>
      <w:numPr>
        <w:numId w:val="40"/>
      </w:numPr>
    </w:pPr>
  </w:style>
  <w:style w:type="paragraph" w:customStyle="1" w:styleId="Langue">
    <w:name w:val="Langue"/>
    <w:basedOn w:val="Normln"/>
    <w:next w:val="Rfrenceinterne"/>
    <w:rsid w:val="00877878"/>
    <w:pPr>
      <w:framePr w:wrap="around" w:vAnchor="page" w:hAnchor="text" w:xAlign="center" w:y="14741"/>
      <w:spacing w:before="0" w:after="600"/>
      <w:jc w:val="center"/>
    </w:pPr>
    <w:rPr>
      <w:b/>
      <w:caps/>
    </w:rPr>
  </w:style>
  <w:style w:type="paragraph" w:customStyle="1" w:styleId="Nomdelinstitution">
    <w:name w:val="Nom de l'institution"/>
    <w:basedOn w:val="Normln"/>
    <w:next w:val="Emission"/>
    <w:rsid w:val="00877878"/>
    <w:pPr>
      <w:spacing w:before="0" w:after="0"/>
      <w:jc w:val="left"/>
    </w:pPr>
    <w:rPr>
      <w:rFonts w:ascii="Arial" w:hAnsi="Arial" w:cs="Arial"/>
    </w:rPr>
  </w:style>
  <w:style w:type="paragraph" w:customStyle="1" w:styleId="Emission">
    <w:name w:val="Emission"/>
    <w:basedOn w:val="Normln"/>
    <w:next w:val="Rfrenceinstitutionnelle"/>
    <w:rsid w:val="00877878"/>
    <w:pPr>
      <w:spacing w:before="0" w:after="0"/>
      <w:ind w:left="5103"/>
      <w:jc w:val="left"/>
    </w:pPr>
  </w:style>
  <w:style w:type="paragraph" w:customStyle="1" w:styleId="Rfrenceinstitutionnelle">
    <w:name w:val="Référence institutionnelle"/>
    <w:basedOn w:val="Normln"/>
    <w:next w:val="Confidentialit"/>
    <w:rsid w:val="00877878"/>
    <w:pPr>
      <w:spacing w:before="0" w:after="240"/>
      <w:ind w:left="5103"/>
      <w:jc w:val="left"/>
    </w:pPr>
  </w:style>
  <w:style w:type="paragraph" w:customStyle="1" w:styleId="Pagedecouverture">
    <w:name w:val="Page de couverture"/>
    <w:basedOn w:val="Normln"/>
    <w:next w:val="Normln"/>
    <w:rsid w:val="00877878"/>
    <w:pPr>
      <w:spacing w:before="0" w:after="0"/>
    </w:pPr>
  </w:style>
  <w:style w:type="paragraph" w:customStyle="1" w:styleId="Declassification">
    <w:name w:val="Declassification"/>
    <w:basedOn w:val="Normln"/>
    <w:next w:val="Normln"/>
    <w:rsid w:val="00877878"/>
    <w:pPr>
      <w:spacing w:before="0" w:after="0"/>
    </w:pPr>
  </w:style>
  <w:style w:type="paragraph" w:customStyle="1" w:styleId="Disclaimer">
    <w:name w:val="Disclaimer"/>
    <w:basedOn w:val="Normln"/>
    <w:rsid w:val="0087787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ln"/>
    <w:next w:val="Normln"/>
    <w:rsid w:val="00877878"/>
    <w:pPr>
      <w:jc w:val="center"/>
    </w:pPr>
    <w:rPr>
      <w:b/>
      <w:u w:val="single"/>
    </w:rPr>
  </w:style>
  <w:style w:type="paragraph" w:customStyle="1" w:styleId="Annexetitre">
    <w:name w:val="Annexe titre"/>
    <w:basedOn w:val="Normln"/>
    <w:next w:val="Normln"/>
    <w:rsid w:val="00877878"/>
    <w:pPr>
      <w:jc w:val="center"/>
    </w:pPr>
    <w:rPr>
      <w:b/>
      <w:u w:val="single"/>
    </w:rPr>
  </w:style>
  <w:style w:type="paragraph" w:customStyle="1" w:styleId="Annexetitrefichefinancire">
    <w:name w:val="Annexe titre (fiche financière)"/>
    <w:basedOn w:val="Normln"/>
    <w:next w:val="Normln"/>
    <w:rsid w:val="00877878"/>
    <w:pPr>
      <w:jc w:val="center"/>
    </w:pPr>
    <w:rPr>
      <w:b/>
      <w:u w:val="single"/>
    </w:rPr>
  </w:style>
  <w:style w:type="paragraph" w:customStyle="1" w:styleId="Applicationdirecte">
    <w:name w:val="Application directe"/>
    <w:basedOn w:val="Normln"/>
    <w:next w:val="Fait"/>
    <w:rsid w:val="00877878"/>
    <w:pPr>
      <w:spacing w:before="480"/>
    </w:pPr>
  </w:style>
  <w:style w:type="paragraph" w:customStyle="1" w:styleId="Avertissementtitre">
    <w:name w:val="Avertissement titre"/>
    <w:basedOn w:val="Normln"/>
    <w:next w:val="Normln"/>
    <w:rsid w:val="00877878"/>
    <w:pPr>
      <w:keepNext/>
      <w:spacing w:before="480"/>
    </w:pPr>
    <w:rPr>
      <w:u w:val="single"/>
    </w:rPr>
  </w:style>
  <w:style w:type="paragraph" w:customStyle="1" w:styleId="Confidence">
    <w:name w:val="Confidence"/>
    <w:basedOn w:val="Normln"/>
    <w:next w:val="Normln"/>
    <w:rsid w:val="00877878"/>
    <w:pPr>
      <w:spacing w:before="360"/>
      <w:jc w:val="center"/>
    </w:pPr>
  </w:style>
  <w:style w:type="paragraph" w:customStyle="1" w:styleId="Confidentialit">
    <w:name w:val="Confidentialité"/>
    <w:basedOn w:val="Normln"/>
    <w:next w:val="TypedudocumentPagedecouverture"/>
    <w:rsid w:val="00877878"/>
    <w:pPr>
      <w:spacing w:before="240" w:after="240"/>
      <w:ind w:left="5103"/>
      <w:jc w:val="left"/>
    </w:pPr>
    <w:rPr>
      <w:i/>
      <w:sz w:val="32"/>
    </w:rPr>
  </w:style>
  <w:style w:type="paragraph" w:customStyle="1" w:styleId="Considrant">
    <w:name w:val="Considérant"/>
    <w:basedOn w:val="Normln"/>
    <w:rsid w:val="00877878"/>
    <w:pPr>
      <w:numPr>
        <w:numId w:val="41"/>
      </w:numPr>
    </w:pPr>
  </w:style>
  <w:style w:type="paragraph" w:customStyle="1" w:styleId="Corrigendum">
    <w:name w:val="Corrigendum"/>
    <w:basedOn w:val="Normln"/>
    <w:next w:val="Normln"/>
    <w:rsid w:val="00877878"/>
    <w:pPr>
      <w:spacing w:before="0" w:after="240"/>
      <w:jc w:val="left"/>
    </w:pPr>
  </w:style>
  <w:style w:type="paragraph" w:customStyle="1" w:styleId="Datedadoption">
    <w:name w:val="Date d'adoption"/>
    <w:basedOn w:val="Normln"/>
    <w:next w:val="Titreobjet"/>
    <w:rsid w:val="00877878"/>
    <w:pPr>
      <w:spacing w:before="360" w:after="0"/>
      <w:jc w:val="center"/>
    </w:pPr>
    <w:rPr>
      <w:b/>
    </w:rPr>
  </w:style>
  <w:style w:type="paragraph" w:customStyle="1" w:styleId="Exposdesmotifstitre">
    <w:name w:val="Exposé des motifs titre"/>
    <w:basedOn w:val="Normln"/>
    <w:next w:val="Normln"/>
    <w:rsid w:val="00877878"/>
    <w:pPr>
      <w:jc w:val="center"/>
    </w:pPr>
    <w:rPr>
      <w:b/>
      <w:u w:val="single"/>
    </w:rPr>
  </w:style>
  <w:style w:type="paragraph" w:customStyle="1" w:styleId="Fait">
    <w:name w:val="Fait à"/>
    <w:basedOn w:val="Normln"/>
    <w:next w:val="Institutionquisigne"/>
    <w:rsid w:val="00877878"/>
    <w:pPr>
      <w:keepNext/>
      <w:spacing w:after="0"/>
    </w:pPr>
  </w:style>
  <w:style w:type="paragraph" w:customStyle="1" w:styleId="Formuledadoption">
    <w:name w:val="Formule d'adoption"/>
    <w:basedOn w:val="Normln"/>
    <w:next w:val="Titrearticle"/>
    <w:rsid w:val="00877878"/>
    <w:pPr>
      <w:keepNext/>
    </w:pPr>
  </w:style>
  <w:style w:type="paragraph" w:customStyle="1" w:styleId="Institutionquiagit">
    <w:name w:val="Institution qui agit"/>
    <w:basedOn w:val="Normln"/>
    <w:next w:val="Normln"/>
    <w:rsid w:val="00877878"/>
    <w:pPr>
      <w:keepNext/>
      <w:spacing w:before="600"/>
    </w:pPr>
  </w:style>
  <w:style w:type="paragraph" w:customStyle="1" w:styleId="Institutionquisigne">
    <w:name w:val="Institution qui signe"/>
    <w:basedOn w:val="Normln"/>
    <w:next w:val="Personnequisigne"/>
    <w:rsid w:val="00877878"/>
    <w:pPr>
      <w:keepNext/>
      <w:tabs>
        <w:tab w:val="left" w:pos="4252"/>
      </w:tabs>
      <w:spacing w:before="720" w:after="0"/>
    </w:pPr>
    <w:rPr>
      <w:i/>
    </w:rPr>
  </w:style>
  <w:style w:type="paragraph" w:customStyle="1" w:styleId="ManualConsidrant">
    <w:name w:val="Manual Considérant"/>
    <w:basedOn w:val="Normln"/>
    <w:rsid w:val="00877878"/>
    <w:pPr>
      <w:ind w:left="709" w:hanging="709"/>
    </w:pPr>
  </w:style>
  <w:style w:type="paragraph" w:customStyle="1" w:styleId="Personnequisigne">
    <w:name w:val="Personne qui signe"/>
    <w:basedOn w:val="Normln"/>
    <w:next w:val="Institutionquisigne"/>
    <w:rsid w:val="00877878"/>
    <w:pPr>
      <w:tabs>
        <w:tab w:val="left" w:pos="4252"/>
      </w:tabs>
      <w:spacing w:before="0" w:after="0"/>
      <w:jc w:val="left"/>
    </w:pPr>
    <w:rPr>
      <w:i/>
    </w:rPr>
  </w:style>
  <w:style w:type="paragraph" w:customStyle="1" w:styleId="Rfrenceinterinstitutionnelle">
    <w:name w:val="Référence interinstitutionnelle"/>
    <w:basedOn w:val="Normln"/>
    <w:next w:val="Statut"/>
    <w:rsid w:val="00877878"/>
    <w:pPr>
      <w:spacing w:before="0" w:after="0"/>
      <w:ind w:left="5103"/>
      <w:jc w:val="left"/>
    </w:pPr>
  </w:style>
  <w:style w:type="paragraph" w:customStyle="1" w:styleId="Rfrenceinterne">
    <w:name w:val="Référence interne"/>
    <w:basedOn w:val="Normln"/>
    <w:next w:val="Rfrenceinterinstitutionnelle"/>
    <w:rsid w:val="00877878"/>
    <w:pPr>
      <w:spacing w:before="0" w:after="0"/>
      <w:ind w:left="5103"/>
      <w:jc w:val="left"/>
    </w:pPr>
  </w:style>
  <w:style w:type="paragraph" w:customStyle="1" w:styleId="Statut">
    <w:name w:val="Statut"/>
    <w:basedOn w:val="Normln"/>
    <w:next w:val="Typedudocument"/>
    <w:rsid w:val="00877878"/>
    <w:pPr>
      <w:spacing w:before="360" w:after="0"/>
      <w:jc w:val="center"/>
    </w:pPr>
  </w:style>
  <w:style w:type="paragraph" w:customStyle="1" w:styleId="Titrearticle">
    <w:name w:val="Titre article"/>
    <w:basedOn w:val="Normln"/>
    <w:next w:val="Normln"/>
    <w:rsid w:val="00877878"/>
    <w:pPr>
      <w:keepNext/>
      <w:spacing w:before="360"/>
      <w:jc w:val="center"/>
    </w:pPr>
    <w:rPr>
      <w:i/>
    </w:rPr>
  </w:style>
  <w:style w:type="paragraph" w:customStyle="1" w:styleId="Titreobjet">
    <w:name w:val="Titre objet"/>
    <w:basedOn w:val="Normln"/>
    <w:next w:val="IntrtEEE"/>
    <w:rsid w:val="00877878"/>
    <w:pPr>
      <w:spacing w:before="360" w:after="360"/>
      <w:jc w:val="center"/>
    </w:pPr>
    <w:rPr>
      <w:b/>
    </w:rPr>
  </w:style>
  <w:style w:type="paragraph" w:customStyle="1" w:styleId="Typedudocument">
    <w:name w:val="Type du document"/>
    <w:basedOn w:val="Normln"/>
    <w:next w:val="Titreobjet"/>
    <w:rsid w:val="00877878"/>
    <w:pPr>
      <w:spacing w:before="360" w:after="0"/>
      <w:jc w:val="center"/>
    </w:pPr>
    <w:rPr>
      <w:b/>
    </w:rPr>
  </w:style>
  <w:style w:type="character" w:customStyle="1" w:styleId="Added">
    <w:name w:val="Added"/>
    <w:basedOn w:val="Standardnpsmoodstavce"/>
    <w:rsid w:val="00877878"/>
    <w:rPr>
      <w:b/>
      <w:u w:val="single"/>
      <w:shd w:val="clear" w:color="auto" w:fill="auto"/>
    </w:rPr>
  </w:style>
  <w:style w:type="character" w:customStyle="1" w:styleId="Deleted">
    <w:name w:val="Deleted"/>
    <w:basedOn w:val="Standardnpsmoodstavce"/>
    <w:rsid w:val="00877878"/>
    <w:rPr>
      <w:strike/>
      <w:dstrike w:val="0"/>
      <w:shd w:val="clear" w:color="auto" w:fill="auto"/>
    </w:rPr>
  </w:style>
  <w:style w:type="paragraph" w:customStyle="1" w:styleId="Address">
    <w:name w:val="Address"/>
    <w:basedOn w:val="Normln"/>
    <w:next w:val="Normln"/>
    <w:rsid w:val="00877878"/>
    <w:pPr>
      <w:keepLines/>
      <w:spacing w:line="360" w:lineRule="auto"/>
      <w:ind w:left="3402"/>
      <w:jc w:val="left"/>
    </w:pPr>
  </w:style>
  <w:style w:type="paragraph" w:customStyle="1" w:styleId="Objetexterne">
    <w:name w:val="Objet externe"/>
    <w:basedOn w:val="Normln"/>
    <w:next w:val="Normln"/>
    <w:rsid w:val="00877878"/>
    <w:rPr>
      <w:i/>
      <w:caps/>
    </w:rPr>
  </w:style>
  <w:style w:type="paragraph" w:customStyle="1" w:styleId="Supertitre">
    <w:name w:val="Supertitre"/>
    <w:basedOn w:val="Normln"/>
    <w:next w:val="Normln"/>
    <w:rsid w:val="00877878"/>
    <w:pPr>
      <w:spacing w:before="0" w:after="600"/>
      <w:jc w:val="center"/>
    </w:pPr>
    <w:rPr>
      <w:b/>
    </w:rPr>
  </w:style>
  <w:style w:type="paragraph" w:customStyle="1" w:styleId="Languesfaisantfoi">
    <w:name w:val="Langues faisant foi"/>
    <w:basedOn w:val="Normln"/>
    <w:next w:val="Normln"/>
    <w:rsid w:val="00877878"/>
    <w:pPr>
      <w:spacing w:before="360" w:after="0"/>
      <w:jc w:val="center"/>
    </w:pPr>
  </w:style>
  <w:style w:type="paragraph" w:customStyle="1" w:styleId="Rfrencecroise">
    <w:name w:val="Référence croisée"/>
    <w:basedOn w:val="Normln"/>
    <w:rsid w:val="00877878"/>
    <w:pPr>
      <w:spacing w:before="0" w:after="0"/>
      <w:jc w:val="center"/>
    </w:pPr>
  </w:style>
  <w:style w:type="paragraph" w:customStyle="1" w:styleId="Fichefinanciretitre">
    <w:name w:val="Fiche financière titre"/>
    <w:basedOn w:val="Normln"/>
    <w:next w:val="Normln"/>
    <w:rsid w:val="00877878"/>
    <w:pPr>
      <w:jc w:val="center"/>
    </w:pPr>
    <w:rPr>
      <w:b/>
      <w:u w:val="single"/>
    </w:rPr>
  </w:style>
  <w:style w:type="paragraph" w:customStyle="1" w:styleId="DatedadoptionPagedecouverture">
    <w:name w:val="Date d'adoption (Page de couverture)"/>
    <w:basedOn w:val="Datedadoption"/>
    <w:next w:val="TitreobjetPagedecouverture"/>
    <w:rsid w:val="00877878"/>
  </w:style>
  <w:style w:type="paragraph" w:customStyle="1" w:styleId="RfrenceinterinstitutionnellePagedecouverture">
    <w:name w:val="Référence interinstitutionnelle (Page de couverture)"/>
    <w:basedOn w:val="Rfrenceinterinstitutionnelle"/>
    <w:next w:val="Confidentialit"/>
    <w:rsid w:val="00877878"/>
  </w:style>
  <w:style w:type="paragraph" w:customStyle="1" w:styleId="StatutPagedecouverture">
    <w:name w:val="Statut (Page de couverture)"/>
    <w:basedOn w:val="Statut"/>
    <w:next w:val="TypedudocumentPagedecouverture"/>
    <w:rsid w:val="00877878"/>
  </w:style>
  <w:style w:type="paragraph" w:customStyle="1" w:styleId="TitreobjetPagedecouverture">
    <w:name w:val="Titre objet (Page de couverture)"/>
    <w:basedOn w:val="Titreobjet"/>
    <w:next w:val="IntrtEEEPagedecouverture"/>
    <w:rsid w:val="00877878"/>
  </w:style>
  <w:style w:type="paragraph" w:customStyle="1" w:styleId="TypedudocumentPagedecouverture">
    <w:name w:val="Type du document (Page de couverture)"/>
    <w:basedOn w:val="Typedudocument"/>
    <w:next w:val="TitreobjetPagedecouverture"/>
    <w:rsid w:val="00877878"/>
  </w:style>
  <w:style w:type="paragraph" w:customStyle="1" w:styleId="Volume">
    <w:name w:val="Volume"/>
    <w:basedOn w:val="Normln"/>
    <w:next w:val="Confidentialit"/>
    <w:rsid w:val="00877878"/>
    <w:pPr>
      <w:spacing w:before="0" w:after="240"/>
      <w:ind w:left="5103"/>
      <w:jc w:val="left"/>
    </w:pPr>
  </w:style>
  <w:style w:type="paragraph" w:customStyle="1" w:styleId="IntrtEEE">
    <w:name w:val="Intérêt EEE"/>
    <w:basedOn w:val="Languesfaisantfoi"/>
    <w:next w:val="Normln"/>
    <w:rsid w:val="00877878"/>
    <w:pPr>
      <w:spacing w:after="240"/>
    </w:pPr>
  </w:style>
  <w:style w:type="paragraph" w:customStyle="1" w:styleId="Accompagnant">
    <w:name w:val="Accompagnant"/>
    <w:basedOn w:val="Normln"/>
    <w:next w:val="Typeacteprincipal"/>
    <w:rsid w:val="00877878"/>
    <w:pPr>
      <w:spacing w:before="0" w:after="240"/>
      <w:jc w:val="center"/>
    </w:pPr>
    <w:rPr>
      <w:b/>
      <w:i/>
    </w:rPr>
  </w:style>
  <w:style w:type="paragraph" w:customStyle="1" w:styleId="Typeacteprincipal">
    <w:name w:val="Type acte principal"/>
    <w:basedOn w:val="Normln"/>
    <w:next w:val="Objetacteprincipal"/>
    <w:rsid w:val="00877878"/>
    <w:pPr>
      <w:spacing w:before="0" w:after="240"/>
      <w:jc w:val="center"/>
    </w:pPr>
    <w:rPr>
      <w:b/>
    </w:rPr>
  </w:style>
  <w:style w:type="paragraph" w:customStyle="1" w:styleId="Objetacteprincipal">
    <w:name w:val="Objet acte principal"/>
    <w:basedOn w:val="Normln"/>
    <w:next w:val="Titrearticle"/>
    <w:rsid w:val="00877878"/>
    <w:pPr>
      <w:spacing w:before="0" w:after="360"/>
      <w:jc w:val="center"/>
    </w:pPr>
    <w:rPr>
      <w:b/>
    </w:rPr>
  </w:style>
  <w:style w:type="paragraph" w:customStyle="1" w:styleId="IntrtEEEPagedecouverture">
    <w:name w:val="Intérêt EEE (Page de couverture)"/>
    <w:basedOn w:val="IntrtEEE"/>
    <w:next w:val="Rfrencecroise"/>
    <w:rsid w:val="00877878"/>
  </w:style>
  <w:style w:type="paragraph" w:customStyle="1" w:styleId="AccompagnantPagedecouverture">
    <w:name w:val="Accompagnant (Page de couverture)"/>
    <w:basedOn w:val="Accompagnant"/>
    <w:next w:val="TypeacteprincipalPagedecouverture"/>
    <w:rsid w:val="00877878"/>
  </w:style>
  <w:style w:type="paragraph" w:customStyle="1" w:styleId="TypeacteprincipalPagedecouverture">
    <w:name w:val="Type acte principal (Page de couverture)"/>
    <w:basedOn w:val="Typeacteprincipal"/>
    <w:next w:val="ObjetacteprincipalPagedecouverture"/>
    <w:rsid w:val="00877878"/>
  </w:style>
  <w:style w:type="paragraph" w:customStyle="1" w:styleId="ObjetacteprincipalPagedecouverture">
    <w:name w:val="Objet acte principal (Page de couverture)"/>
    <w:basedOn w:val="Objetacteprincipal"/>
    <w:next w:val="Rfrencecroise"/>
    <w:rsid w:val="00877878"/>
  </w:style>
  <w:style w:type="paragraph" w:customStyle="1" w:styleId="LanguesfaisantfoiPagedecouverture">
    <w:name w:val="Langues faisant foi (Page de couverture)"/>
    <w:basedOn w:val="Normln"/>
    <w:next w:val="Normln"/>
    <w:rsid w:val="00877878"/>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before="120" w:after="120" w:line="240" w:lineRule="auto"/>
      <w:jc w:val="both"/>
    </w:pPr>
    <w:rPr>
      <w:rFonts w:ascii="Times New Roman" w:hAnsi="Times New Roman" w:cs="Times New Roman"/>
      <w:sz w:val="24"/>
    </w:rPr>
  </w:style>
  <w:style w:type="paragraph" w:styleId="Nadpis1">
    <w:name w:val="heading 1"/>
    <w:basedOn w:val="Normln"/>
    <w:next w:val="Text1"/>
    <w:link w:val="Nadpis1Char"/>
    <w:uiPriority w:val="9"/>
    <w:qFormat/>
    <w:rsid w:val="00877878"/>
    <w:pPr>
      <w:keepNext/>
      <w:numPr>
        <w:numId w:val="34"/>
      </w:numPr>
      <w:spacing w:before="360"/>
      <w:outlineLvl w:val="0"/>
    </w:pPr>
    <w:rPr>
      <w:rFonts w:eastAsiaTheme="majorEastAsia"/>
      <w:b/>
      <w:bCs/>
      <w:smallCaps/>
      <w:szCs w:val="28"/>
    </w:rPr>
  </w:style>
  <w:style w:type="paragraph" w:styleId="Nadpis2">
    <w:name w:val="heading 2"/>
    <w:basedOn w:val="Normln"/>
    <w:next w:val="Text1"/>
    <w:link w:val="Nadpis2Char"/>
    <w:uiPriority w:val="9"/>
    <w:semiHidden/>
    <w:unhideWhenUsed/>
    <w:qFormat/>
    <w:rsid w:val="00877878"/>
    <w:pPr>
      <w:keepNext/>
      <w:numPr>
        <w:ilvl w:val="1"/>
        <w:numId w:val="34"/>
      </w:numPr>
      <w:outlineLvl w:val="1"/>
    </w:pPr>
    <w:rPr>
      <w:rFonts w:eastAsiaTheme="majorEastAsia"/>
      <w:b/>
      <w:bCs/>
      <w:szCs w:val="26"/>
    </w:rPr>
  </w:style>
  <w:style w:type="paragraph" w:styleId="Nadpis3">
    <w:name w:val="heading 3"/>
    <w:basedOn w:val="Normln"/>
    <w:next w:val="Text1"/>
    <w:link w:val="Nadpis3Char"/>
    <w:uiPriority w:val="9"/>
    <w:semiHidden/>
    <w:unhideWhenUsed/>
    <w:qFormat/>
    <w:rsid w:val="00877878"/>
    <w:pPr>
      <w:keepNext/>
      <w:numPr>
        <w:ilvl w:val="2"/>
        <w:numId w:val="34"/>
      </w:numPr>
      <w:outlineLvl w:val="2"/>
    </w:pPr>
    <w:rPr>
      <w:rFonts w:eastAsiaTheme="majorEastAsia"/>
      <w:bCs/>
      <w:i/>
    </w:rPr>
  </w:style>
  <w:style w:type="paragraph" w:styleId="Nadpis4">
    <w:name w:val="heading 4"/>
    <w:basedOn w:val="Normln"/>
    <w:next w:val="Text1"/>
    <w:link w:val="Nadpis4Char"/>
    <w:uiPriority w:val="9"/>
    <w:semiHidden/>
    <w:unhideWhenUsed/>
    <w:qFormat/>
    <w:rsid w:val="00877878"/>
    <w:pPr>
      <w:keepNext/>
      <w:numPr>
        <w:ilvl w:val="3"/>
        <w:numId w:val="34"/>
      </w:numPr>
      <w:outlineLvl w:val="3"/>
    </w:pPr>
    <w:rPr>
      <w:rFonts w:eastAsiaTheme="majorEastAsia"/>
      <w:bCs/>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ous-titreobjet">
    <w:name w:val="Sous-titre objet"/>
    <w:basedOn w:val="Normln"/>
    <w:rsid w:val="007D53B6"/>
    <w:pPr>
      <w:spacing w:before="0" w:after="0"/>
      <w:jc w:val="center"/>
    </w:pPr>
    <w:rPr>
      <w:b/>
    </w:rPr>
  </w:style>
  <w:style w:type="paragraph" w:customStyle="1" w:styleId="Sous-titreobjetPagedecouverture">
    <w:name w:val="Sous-titre objet (Page de couverture)"/>
    <w:basedOn w:val="Sous-titreobjet"/>
    <w:rsid w:val="007D53B6"/>
  </w:style>
  <w:style w:type="character" w:styleId="Odkaznakoment">
    <w:name w:val="annotation reference"/>
    <w:basedOn w:val="Standardnpsmoodstavce"/>
    <w:unhideWhenUsed/>
    <w:rsid w:val="00DE6CFA"/>
    <w:rPr>
      <w:sz w:val="16"/>
      <w:szCs w:val="16"/>
    </w:rPr>
  </w:style>
  <w:style w:type="paragraph" w:styleId="Textkomente">
    <w:name w:val="annotation text"/>
    <w:basedOn w:val="Normln"/>
    <w:link w:val="TextkomenteChar"/>
    <w:unhideWhenUsed/>
    <w:rsid w:val="00DE6CFA"/>
    <w:rPr>
      <w:sz w:val="20"/>
      <w:szCs w:val="20"/>
    </w:rPr>
  </w:style>
  <w:style w:type="character" w:customStyle="1" w:styleId="TextkomenteChar">
    <w:name w:val="Text komentáře Char"/>
    <w:basedOn w:val="Standardnpsmoodstavce"/>
    <w:link w:val="Textkomente"/>
    <w:rsid w:val="00DE6CFA"/>
    <w:rPr>
      <w:rFonts w:ascii="Times New Roman" w:hAnsi="Times New Roman" w:cs="Times New Roman"/>
      <w:sz w:val="20"/>
      <w:szCs w:val="20"/>
      <w:lang w:val="cs-CZ"/>
    </w:rPr>
  </w:style>
  <w:style w:type="paragraph" w:styleId="Pedmtkomente">
    <w:name w:val="annotation subject"/>
    <w:basedOn w:val="Textkomente"/>
    <w:next w:val="Textkomente"/>
    <w:link w:val="PedmtkomenteChar"/>
    <w:uiPriority w:val="99"/>
    <w:semiHidden/>
    <w:unhideWhenUsed/>
    <w:rsid w:val="00DE6CFA"/>
    <w:rPr>
      <w:b/>
      <w:bCs/>
    </w:rPr>
  </w:style>
  <w:style w:type="character" w:customStyle="1" w:styleId="PedmtkomenteChar">
    <w:name w:val="Předmět komentáře Char"/>
    <w:basedOn w:val="TextkomenteChar"/>
    <w:link w:val="Pedmtkomente"/>
    <w:uiPriority w:val="99"/>
    <w:semiHidden/>
    <w:rsid w:val="00DE6CFA"/>
    <w:rPr>
      <w:rFonts w:ascii="Times New Roman" w:hAnsi="Times New Roman" w:cs="Times New Roman"/>
      <w:b/>
      <w:bCs/>
      <w:sz w:val="20"/>
      <w:szCs w:val="20"/>
      <w:lang w:val="cs-CZ"/>
    </w:rPr>
  </w:style>
  <w:style w:type="paragraph" w:styleId="Textbubliny">
    <w:name w:val="Balloon Text"/>
    <w:basedOn w:val="Normln"/>
    <w:link w:val="TextbublinyChar"/>
    <w:uiPriority w:val="99"/>
    <w:semiHidden/>
    <w:unhideWhenUsed/>
    <w:rsid w:val="00DE6CF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E6CFA"/>
    <w:rPr>
      <w:rFonts w:ascii="Tahoma" w:hAnsi="Tahoma" w:cs="Tahoma"/>
      <w:sz w:val="16"/>
      <w:szCs w:val="16"/>
      <w:lang w:val="cs-CZ"/>
    </w:rPr>
  </w:style>
  <w:style w:type="paragraph" w:styleId="Revize">
    <w:name w:val="Revision"/>
    <w:hidden/>
    <w:uiPriority w:val="99"/>
    <w:semiHidden/>
    <w:rsid w:val="00DE6CFA"/>
    <w:pPr>
      <w:spacing w:after="0" w:line="240" w:lineRule="auto"/>
    </w:pPr>
    <w:rPr>
      <w:rFonts w:ascii="Times New Roman" w:hAnsi="Times New Roman" w:cs="Times New Roman"/>
      <w:sz w:val="24"/>
    </w:rPr>
  </w:style>
  <w:style w:type="paragraph" w:styleId="Seznamsodrkami">
    <w:name w:val="List Bullet"/>
    <w:basedOn w:val="Normln"/>
    <w:uiPriority w:val="99"/>
    <w:semiHidden/>
    <w:unhideWhenUsed/>
    <w:rsid w:val="005D1F5C"/>
    <w:pPr>
      <w:numPr>
        <w:numId w:val="1"/>
      </w:numPr>
      <w:contextualSpacing/>
    </w:pPr>
  </w:style>
  <w:style w:type="paragraph" w:styleId="Seznamsodrkami2">
    <w:name w:val="List Bullet 2"/>
    <w:basedOn w:val="Normln"/>
    <w:uiPriority w:val="99"/>
    <w:semiHidden/>
    <w:unhideWhenUsed/>
    <w:rsid w:val="005D1F5C"/>
    <w:pPr>
      <w:numPr>
        <w:numId w:val="2"/>
      </w:numPr>
      <w:contextualSpacing/>
    </w:pPr>
  </w:style>
  <w:style w:type="paragraph" w:styleId="Seznamsodrkami3">
    <w:name w:val="List Bullet 3"/>
    <w:basedOn w:val="Normln"/>
    <w:uiPriority w:val="99"/>
    <w:semiHidden/>
    <w:unhideWhenUsed/>
    <w:rsid w:val="005D1F5C"/>
    <w:pPr>
      <w:numPr>
        <w:numId w:val="3"/>
      </w:numPr>
      <w:contextualSpacing/>
    </w:pPr>
  </w:style>
  <w:style w:type="paragraph" w:styleId="Seznamsodrkami4">
    <w:name w:val="List Bullet 4"/>
    <w:basedOn w:val="Normln"/>
    <w:uiPriority w:val="99"/>
    <w:semiHidden/>
    <w:unhideWhenUsed/>
    <w:rsid w:val="005D1F5C"/>
    <w:pPr>
      <w:numPr>
        <w:numId w:val="4"/>
      </w:numPr>
      <w:contextualSpacing/>
    </w:pPr>
  </w:style>
  <w:style w:type="character" w:styleId="Hypertextovodkaz">
    <w:name w:val="Hyperlink"/>
    <w:basedOn w:val="Standardnpsmoodstavce"/>
    <w:uiPriority w:val="99"/>
    <w:unhideWhenUsed/>
    <w:qFormat/>
    <w:rsid w:val="00E74D30"/>
    <w:rPr>
      <w:color w:val="0000FF" w:themeColor="hyperlink"/>
      <w:u w:val="single"/>
    </w:rPr>
  </w:style>
  <w:style w:type="character" w:styleId="Sledovanodkaz">
    <w:name w:val="FollowedHyperlink"/>
    <w:basedOn w:val="Standardnpsmoodstavce"/>
    <w:uiPriority w:val="99"/>
    <w:semiHidden/>
    <w:unhideWhenUsed/>
    <w:rsid w:val="00E74D30"/>
    <w:rPr>
      <w:color w:val="800080" w:themeColor="followedHyperlink"/>
      <w:u w:val="single"/>
    </w:rPr>
  </w:style>
  <w:style w:type="character" w:customStyle="1" w:styleId="italic1">
    <w:name w:val="italic1"/>
    <w:basedOn w:val="Standardnpsmoodstavce"/>
    <w:rsid w:val="00247593"/>
    <w:rPr>
      <w:i/>
      <w:iCs/>
    </w:rPr>
  </w:style>
  <w:style w:type="paragraph" w:styleId="Odstavecseseznamem">
    <w:name w:val="List Paragraph"/>
    <w:aliases w:val="Table of contents numbered,Normal bullet 2,Antes de enumeración,Párrafo de lista1,Bullet list,List Paragraph1,Dot pt,F5 List Paragraph,No Spacing1,List Paragraph Char Char Char,Indicator Text,Colorful List - Accent 11,L"/>
    <w:basedOn w:val="Normln"/>
    <w:link w:val="OdstavecseseznamemChar"/>
    <w:uiPriority w:val="34"/>
    <w:qFormat/>
    <w:rsid w:val="00612219"/>
    <w:pPr>
      <w:ind w:left="720"/>
      <w:contextualSpacing/>
    </w:pPr>
  </w:style>
  <w:style w:type="paragraph" w:customStyle="1" w:styleId="CM1">
    <w:name w:val="CM1"/>
    <w:basedOn w:val="Normln"/>
    <w:next w:val="Normln"/>
    <w:uiPriority w:val="99"/>
    <w:rsid w:val="00AD53CE"/>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ln"/>
    <w:next w:val="Normln"/>
    <w:uiPriority w:val="99"/>
    <w:rsid w:val="00AD53CE"/>
    <w:pPr>
      <w:autoSpaceDE w:val="0"/>
      <w:autoSpaceDN w:val="0"/>
      <w:adjustRightInd w:val="0"/>
      <w:spacing w:before="0" w:after="0"/>
      <w:jc w:val="left"/>
    </w:pPr>
    <w:rPr>
      <w:rFonts w:ascii="EUAlbertina" w:hAnsi="EUAlbertina" w:cstheme="minorBidi"/>
      <w:szCs w:val="24"/>
    </w:rPr>
  </w:style>
  <w:style w:type="paragraph" w:customStyle="1" w:styleId="title-article-norm">
    <w:name w:val="title-article-norm"/>
    <w:basedOn w:val="Normln"/>
    <w:rsid w:val="00E57E1F"/>
    <w:pPr>
      <w:spacing w:before="100" w:beforeAutospacing="1" w:after="100" w:afterAutospacing="1"/>
      <w:jc w:val="left"/>
    </w:pPr>
    <w:rPr>
      <w:rFonts w:eastAsia="Times New Roman"/>
      <w:szCs w:val="24"/>
    </w:rPr>
  </w:style>
  <w:style w:type="paragraph" w:customStyle="1" w:styleId="stitle-article-norm">
    <w:name w:val="stitle-article-norm"/>
    <w:basedOn w:val="Normln"/>
    <w:rsid w:val="00E57E1F"/>
    <w:pPr>
      <w:spacing w:before="100" w:beforeAutospacing="1" w:after="100" w:afterAutospacing="1"/>
      <w:jc w:val="left"/>
    </w:pPr>
    <w:rPr>
      <w:rFonts w:eastAsia="Times New Roman"/>
      <w:szCs w:val="24"/>
    </w:rPr>
  </w:style>
  <w:style w:type="paragraph" w:customStyle="1" w:styleId="norm">
    <w:name w:val="norm"/>
    <w:basedOn w:val="Normln"/>
    <w:rsid w:val="00E57E1F"/>
    <w:pPr>
      <w:spacing w:before="100" w:beforeAutospacing="1" w:after="100" w:afterAutospacing="1"/>
      <w:jc w:val="left"/>
    </w:pPr>
    <w:rPr>
      <w:rFonts w:eastAsia="Times New Roman"/>
      <w:szCs w:val="24"/>
    </w:rPr>
  </w:style>
  <w:style w:type="paragraph" w:customStyle="1" w:styleId="CM4">
    <w:name w:val="CM4"/>
    <w:basedOn w:val="Normln"/>
    <w:next w:val="Normln"/>
    <w:uiPriority w:val="99"/>
    <w:rsid w:val="00623468"/>
    <w:pPr>
      <w:autoSpaceDE w:val="0"/>
      <w:autoSpaceDN w:val="0"/>
      <w:adjustRightInd w:val="0"/>
      <w:spacing w:before="0" w:after="0"/>
      <w:jc w:val="left"/>
    </w:pPr>
    <w:rPr>
      <w:rFonts w:ascii="EUAlbertina" w:hAnsi="EUAlbertina" w:cstheme="minorBidi"/>
      <w:szCs w:val="24"/>
    </w:rPr>
  </w:style>
  <w:style w:type="paragraph" w:customStyle="1" w:styleId="Default">
    <w:name w:val="Default"/>
    <w:rsid w:val="005C719E"/>
    <w:pPr>
      <w:autoSpaceDE w:val="0"/>
      <w:autoSpaceDN w:val="0"/>
      <w:adjustRightInd w:val="0"/>
      <w:spacing w:after="0" w:line="240" w:lineRule="auto"/>
    </w:pPr>
    <w:rPr>
      <w:rFonts w:ascii="EU Albertina" w:hAnsi="EU Albertina" w:cs="EU Albertina"/>
      <w:color w:val="000000"/>
      <w:sz w:val="24"/>
      <w:szCs w:val="24"/>
    </w:rPr>
  </w:style>
  <w:style w:type="paragraph" w:customStyle="1" w:styleId="Body">
    <w:name w:val="Body"/>
    <w:link w:val="BodyChar"/>
    <w:qFormat/>
    <w:rsid w:val="001C2FE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numbering" w:customStyle="1" w:styleId="Lettered">
    <w:name w:val="Lettered"/>
    <w:rsid w:val="001C2FE7"/>
    <w:pPr>
      <w:numPr>
        <w:numId w:val="5"/>
      </w:numPr>
    </w:pPr>
  </w:style>
  <w:style w:type="paragraph" w:customStyle="1" w:styleId="Corpo">
    <w:name w:val="Corpo"/>
    <w:rsid w:val="0072797A"/>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super">
    <w:name w:val="super"/>
    <w:basedOn w:val="Standardnpsmoodstavce"/>
    <w:rsid w:val="0072797A"/>
    <w:rPr>
      <w:sz w:val="17"/>
      <w:szCs w:val="17"/>
      <w:vertAlign w:val="superscript"/>
    </w:rPr>
  </w:style>
  <w:style w:type="paragraph" w:styleId="Normlnweb">
    <w:name w:val="Normal (Web)"/>
    <w:basedOn w:val="Normln"/>
    <w:uiPriority w:val="99"/>
    <w:unhideWhenUsed/>
    <w:rsid w:val="00410769"/>
    <w:pPr>
      <w:spacing w:before="100" w:beforeAutospacing="1" w:after="100" w:afterAutospacing="1"/>
      <w:jc w:val="left"/>
    </w:pPr>
    <w:rPr>
      <w:rFonts w:eastAsia="Times New Roman"/>
      <w:szCs w:val="24"/>
    </w:rPr>
  </w:style>
  <w:style w:type="character" w:customStyle="1" w:styleId="sup1">
    <w:name w:val="sup1"/>
    <w:basedOn w:val="Standardnpsmoodstavce"/>
    <w:rsid w:val="00410769"/>
    <w:rPr>
      <w:sz w:val="19"/>
      <w:szCs w:val="19"/>
      <w:vertAlign w:val="superscript"/>
    </w:rPr>
  </w:style>
  <w:style w:type="paragraph" w:customStyle="1" w:styleId="FootnoteText1">
    <w:name w:val="Footnote Text1"/>
    <w:basedOn w:val="Normln"/>
    <w:next w:val="Textpoznpodarou"/>
    <w:uiPriority w:val="99"/>
    <w:unhideWhenUsed/>
    <w:rsid w:val="00211ACE"/>
    <w:pPr>
      <w:spacing w:before="0" w:after="0"/>
      <w:jc w:val="left"/>
    </w:pPr>
    <w:rPr>
      <w:rFonts w:asciiTheme="minorHAnsi" w:hAnsiTheme="minorHAnsi" w:cstheme="minorBidi"/>
      <w:sz w:val="20"/>
      <w:szCs w:val="20"/>
    </w:rPr>
  </w:style>
  <w:style w:type="character" w:customStyle="1" w:styleId="Hyperlink1">
    <w:name w:val="Hyperlink1"/>
    <w:basedOn w:val="Standardnpsmoodstavce"/>
    <w:uiPriority w:val="99"/>
    <w:unhideWhenUsed/>
    <w:rsid w:val="00211ACE"/>
    <w:rPr>
      <w:color w:val="0563C1"/>
      <w:u w:val="single"/>
    </w:rPr>
  </w:style>
  <w:style w:type="table" w:styleId="Mkatabulky">
    <w:name w:val="Table Grid"/>
    <w:aliases w:val="Document Table,CV1"/>
    <w:basedOn w:val="Normlntabulka"/>
    <w:uiPriority w:val="59"/>
    <w:rsid w:val="00211A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Char">
    <w:name w:val="Body Char"/>
    <w:basedOn w:val="Standardnpsmoodstavce"/>
    <w:link w:val="Body"/>
    <w:locked/>
    <w:rsid w:val="00211ACE"/>
    <w:rPr>
      <w:rFonts w:ascii="Helvetica Neue" w:eastAsia="Arial Unicode MS" w:hAnsi="Helvetica Neue" w:cs="Arial Unicode MS"/>
      <w:color w:val="000000"/>
      <w:bdr w:val="nil"/>
      <w:lang w:eastAsia="cs-CZ"/>
    </w:rPr>
  </w:style>
  <w:style w:type="character" w:customStyle="1" w:styleId="OdstavecseseznamemChar">
    <w:name w:val="Odstavec se seznamem Char"/>
    <w:aliases w:val="Table of contents numbered Char,Normal bullet 2 Char,Antes de enumeración Char,Párrafo de lista1 Char,Bullet list Char,List Paragraph1 Char,Dot pt Char,F5 List Paragraph Char,No Spacing1 Char,List Paragraph Char Char Char Char"/>
    <w:link w:val="Odstavecseseznamem"/>
    <w:uiPriority w:val="34"/>
    <w:qFormat/>
    <w:locked/>
    <w:rsid w:val="00211ACE"/>
    <w:rPr>
      <w:rFonts w:ascii="Times New Roman" w:hAnsi="Times New Roman" w:cs="Times New Roman"/>
      <w:sz w:val="24"/>
      <w:lang w:val="cs-CZ"/>
    </w:rPr>
  </w:style>
  <w:style w:type="paragraph" w:customStyle="1" w:styleId="NormalLeftAligned">
    <w:name w:val="NormalLeftAligned"/>
    <w:basedOn w:val="Normln"/>
    <w:uiPriority w:val="6"/>
    <w:qFormat/>
    <w:rsid w:val="00211ACE"/>
    <w:pPr>
      <w:spacing w:line="240" w:lineRule="atLeast"/>
    </w:pPr>
    <w:rPr>
      <w:rFonts w:ascii="Arial" w:hAnsi="Arial"/>
      <w:sz w:val="20"/>
      <w:szCs w:val="24"/>
    </w:rPr>
  </w:style>
  <w:style w:type="paragraph" w:styleId="Titulek">
    <w:name w:val="caption"/>
    <w:basedOn w:val="Normln"/>
    <w:next w:val="Normln"/>
    <w:uiPriority w:val="35"/>
    <w:semiHidden/>
    <w:unhideWhenUsed/>
    <w:qFormat/>
    <w:rsid w:val="005118F1"/>
    <w:pPr>
      <w:spacing w:before="0" w:after="200"/>
    </w:pPr>
    <w:rPr>
      <w:i/>
      <w:iCs/>
      <w:color w:val="1F497D" w:themeColor="text2"/>
      <w:sz w:val="18"/>
      <w:szCs w:val="18"/>
    </w:rPr>
  </w:style>
  <w:style w:type="paragraph" w:styleId="Seznamobrzk">
    <w:name w:val="table of figures"/>
    <w:basedOn w:val="Normln"/>
    <w:next w:val="Normln"/>
    <w:uiPriority w:val="99"/>
    <w:semiHidden/>
    <w:unhideWhenUsed/>
    <w:rsid w:val="005118F1"/>
    <w:pPr>
      <w:spacing w:after="0"/>
    </w:pPr>
  </w:style>
  <w:style w:type="paragraph" w:styleId="slovanseznam">
    <w:name w:val="List Number"/>
    <w:basedOn w:val="Normln"/>
    <w:unhideWhenUsed/>
    <w:rsid w:val="005118F1"/>
    <w:pPr>
      <w:numPr>
        <w:numId w:val="8"/>
      </w:numPr>
      <w:contextualSpacing/>
    </w:pPr>
  </w:style>
  <w:style w:type="paragraph" w:styleId="slovanseznam2">
    <w:name w:val="List Number 2"/>
    <w:basedOn w:val="Normln"/>
    <w:uiPriority w:val="99"/>
    <w:semiHidden/>
    <w:unhideWhenUsed/>
    <w:rsid w:val="005118F1"/>
    <w:pPr>
      <w:numPr>
        <w:numId w:val="9"/>
      </w:numPr>
      <w:contextualSpacing/>
    </w:pPr>
  </w:style>
  <w:style w:type="paragraph" w:styleId="slovanseznam3">
    <w:name w:val="List Number 3"/>
    <w:basedOn w:val="Normln"/>
    <w:uiPriority w:val="99"/>
    <w:semiHidden/>
    <w:unhideWhenUsed/>
    <w:rsid w:val="005118F1"/>
    <w:pPr>
      <w:numPr>
        <w:numId w:val="10"/>
      </w:numPr>
      <w:contextualSpacing/>
    </w:pPr>
  </w:style>
  <w:style w:type="paragraph" w:styleId="slovanseznam4">
    <w:name w:val="List Number 4"/>
    <w:basedOn w:val="Normln"/>
    <w:uiPriority w:val="99"/>
    <w:semiHidden/>
    <w:unhideWhenUsed/>
    <w:rsid w:val="005118F1"/>
    <w:pPr>
      <w:numPr>
        <w:numId w:val="11"/>
      </w:numPr>
      <w:contextualSpacing/>
    </w:pPr>
  </w:style>
  <w:style w:type="paragraph" w:customStyle="1" w:styleId="ListDash1">
    <w:name w:val="List Dash 1"/>
    <w:basedOn w:val="Normln"/>
    <w:rsid w:val="00242822"/>
    <w:pPr>
      <w:ind w:left="1134"/>
    </w:pPr>
    <w:rPr>
      <w:rFonts w:eastAsia="Times New Roman"/>
      <w:noProof/>
    </w:rPr>
  </w:style>
  <w:style w:type="paragraph" w:customStyle="1" w:styleId="ListDash2">
    <w:name w:val="List Dash 2"/>
    <w:basedOn w:val="Normln"/>
    <w:rsid w:val="006A5B18"/>
    <w:pPr>
      <w:numPr>
        <w:numId w:val="13"/>
      </w:numPr>
    </w:pPr>
    <w:rPr>
      <w:rFonts w:eastAsia="Times New Roman"/>
    </w:rPr>
  </w:style>
  <w:style w:type="paragraph" w:customStyle="1" w:styleId="ListNumberLevel2">
    <w:name w:val="List Number (Level 2)"/>
    <w:basedOn w:val="Normln"/>
    <w:rsid w:val="006A5B18"/>
    <w:pPr>
      <w:tabs>
        <w:tab w:val="num" w:pos="1417"/>
      </w:tabs>
      <w:ind w:left="1417" w:hanging="708"/>
    </w:pPr>
    <w:rPr>
      <w:rFonts w:eastAsia="Times New Roman"/>
    </w:rPr>
  </w:style>
  <w:style w:type="paragraph" w:customStyle="1" w:styleId="ListNumberLevel3">
    <w:name w:val="List Number (Level 3)"/>
    <w:basedOn w:val="Normln"/>
    <w:rsid w:val="007A40BE"/>
    <w:pPr>
      <w:numPr>
        <w:ilvl w:val="2"/>
        <w:numId w:val="14"/>
      </w:numPr>
      <w:tabs>
        <w:tab w:val="clear" w:pos="2126"/>
        <w:tab w:val="num" w:pos="1843"/>
      </w:tabs>
    </w:pPr>
    <w:rPr>
      <w:rFonts w:eastAsia="Times New Roman"/>
      <w:noProof/>
    </w:rPr>
  </w:style>
  <w:style w:type="paragraph" w:customStyle="1" w:styleId="ListNumberLevel4">
    <w:name w:val="List Number (Level 4)"/>
    <w:basedOn w:val="Normln"/>
    <w:rsid w:val="006A5B18"/>
    <w:pPr>
      <w:tabs>
        <w:tab w:val="num" w:pos="2835"/>
      </w:tabs>
      <w:ind w:left="2835" w:hanging="709"/>
    </w:pPr>
    <w:rPr>
      <w:rFonts w:eastAsia="Times New Roman"/>
    </w:rPr>
  </w:style>
  <w:style w:type="paragraph" w:styleId="Textvysvtlivek">
    <w:name w:val="endnote text"/>
    <w:basedOn w:val="Normln"/>
    <w:link w:val="TextvysvtlivekChar"/>
    <w:uiPriority w:val="99"/>
    <w:semiHidden/>
    <w:unhideWhenUsed/>
    <w:rsid w:val="007A20D4"/>
    <w:pPr>
      <w:spacing w:before="0" w:after="0"/>
    </w:pPr>
    <w:rPr>
      <w:sz w:val="20"/>
      <w:szCs w:val="20"/>
    </w:rPr>
  </w:style>
  <w:style w:type="character" w:customStyle="1" w:styleId="TextvysvtlivekChar">
    <w:name w:val="Text vysvětlivek Char"/>
    <w:basedOn w:val="Standardnpsmoodstavce"/>
    <w:link w:val="Textvysvtlivek"/>
    <w:uiPriority w:val="99"/>
    <w:semiHidden/>
    <w:rsid w:val="007A20D4"/>
    <w:rPr>
      <w:rFonts w:ascii="Times New Roman" w:hAnsi="Times New Roman" w:cs="Times New Roman"/>
      <w:sz w:val="20"/>
      <w:szCs w:val="20"/>
      <w:lang w:val="cs-CZ"/>
    </w:rPr>
  </w:style>
  <w:style w:type="character" w:styleId="Odkaznavysvtlivky">
    <w:name w:val="endnote reference"/>
    <w:basedOn w:val="Standardnpsmoodstavce"/>
    <w:uiPriority w:val="99"/>
    <w:semiHidden/>
    <w:unhideWhenUsed/>
    <w:rsid w:val="007A20D4"/>
    <w:rPr>
      <w:vertAlign w:val="superscript"/>
    </w:rPr>
  </w:style>
  <w:style w:type="paragraph" w:styleId="Normlnodsazen">
    <w:name w:val="Normal Indent"/>
    <w:basedOn w:val="Normln"/>
    <w:uiPriority w:val="99"/>
    <w:unhideWhenUsed/>
    <w:rsid w:val="009A1FC5"/>
    <w:pPr>
      <w:ind w:left="720"/>
    </w:pPr>
  </w:style>
  <w:style w:type="character" w:customStyle="1" w:styleId="st1">
    <w:name w:val="st1"/>
    <w:basedOn w:val="Standardnpsmoodstavce"/>
    <w:rsid w:val="00B76A88"/>
  </w:style>
  <w:style w:type="character" w:customStyle="1" w:styleId="highlight">
    <w:name w:val="highlight"/>
    <w:basedOn w:val="Standardnpsmoodstavce"/>
    <w:rsid w:val="00B76A88"/>
    <w:rPr>
      <w:shd w:val="clear" w:color="auto" w:fill="auto"/>
    </w:rPr>
  </w:style>
  <w:style w:type="character" w:styleId="Siln">
    <w:name w:val="Strong"/>
    <w:basedOn w:val="Standardnpsmoodstavce"/>
    <w:uiPriority w:val="22"/>
    <w:qFormat/>
    <w:rsid w:val="0009563A"/>
    <w:rPr>
      <w:b/>
      <w:bCs/>
    </w:rPr>
  </w:style>
  <w:style w:type="paragraph" w:styleId="Zhlav">
    <w:name w:val="header"/>
    <w:basedOn w:val="Normln"/>
    <w:link w:val="ZhlavChar"/>
    <w:uiPriority w:val="99"/>
    <w:unhideWhenUsed/>
    <w:rsid w:val="00DA02CA"/>
    <w:pPr>
      <w:tabs>
        <w:tab w:val="center" w:pos="4535"/>
        <w:tab w:val="right" w:pos="9071"/>
      </w:tabs>
      <w:spacing w:before="0"/>
    </w:pPr>
    <w:rPr>
      <w:lang w:eastAsia="en-US" w:bidi="ar-SA"/>
    </w:rPr>
  </w:style>
  <w:style w:type="character" w:customStyle="1" w:styleId="ZhlavChar">
    <w:name w:val="Záhlaví Char"/>
    <w:basedOn w:val="Standardnpsmoodstavce"/>
    <w:link w:val="Zhlav"/>
    <w:uiPriority w:val="99"/>
    <w:rsid w:val="00DA02CA"/>
    <w:rPr>
      <w:rFonts w:ascii="Times New Roman" w:hAnsi="Times New Roman" w:cs="Times New Roman"/>
      <w:sz w:val="24"/>
      <w:lang w:eastAsia="en-US" w:bidi="ar-SA"/>
    </w:rPr>
  </w:style>
  <w:style w:type="paragraph" w:styleId="Zpat">
    <w:name w:val="footer"/>
    <w:basedOn w:val="Normln"/>
    <w:link w:val="ZpatChar"/>
    <w:uiPriority w:val="99"/>
    <w:unhideWhenUsed/>
    <w:rsid w:val="00DA02CA"/>
    <w:pPr>
      <w:tabs>
        <w:tab w:val="center" w:pos="4535"/>
        <w:tab w:val="right" w:pos="9071"/>
        <w:tab w:val="right" w:pos="9921"/>
      </w:tabs>
      <w:spacing w:before="360" w:after="0"/>
      <w:ind w:left="-850" w:right="-850"/>
      <w:jc w:val="left"/>
    </w:pPr>
    <w:rPr>
      <w:lang w:eastAsia="en-US" w:bidi="ar-SA"/>
    </w:rPr>
  </w:style>
  <w:style w:type="character" w:customStyle="1" w:styleId="ZpatChar">
    <w:name w:val="Zápatí Char"/>
    <w:basedOn w:val="Standardnpsmoodstavce"/>
    <w:link w:val="Zpat"/>
    <w:uiPriority w:val="99"/>
    <w:rsid w:val="00DA02CA"/>
    <w:rPr>
      <w:rFonts w:ascii="Times New Roman" w:hAnsi="Times New Roman" w:cs="Times New Roman"/>
      <w:sz w:val="24"/>
      <w:lang w:eastAsia="en-US" w:bidi="ar-SA"/>
    </w:rPr>
  </w:style>
  <w:style w:type="paragraph" w:styleId="Textpoznpodarou">
    <w:name w:val="footnote text"/>
    <w:basedOn w:val="Normln"/>
    <w:link w:val="TextpoznpodarouChar"/>
    <w:uiPriority w:val="99"/>
    <w:semiHidden/>
    <w:unhideWhenUsed/>
    <w:rsid w:val="00877878"/>
    <w:pPr>
      <w:spacing w:before="0" w:after="0"/>
      <w:ind w:left="720" w:hanging="720"/>
    </w:pPr>
    <w:rPr>
      <w:sz w:val="20"/>
      <w:szCs w:val="20"/>
    </w:rPr>
  </w:style>
  <w:style w:type="character" w:customStyle="1" w:styleId="TextpoznpodarouChar">
    <w:name w:val="Text pozn. pod čarou Char"/>
    <w:basedOn w:val="Standardnpsmoodstavce"/>
    <w:link w:val="Textpoznpodarou"/>
    <w:uiPriority w:val="99"/>
    <w:semiHidden/>
    <w:rsid w:val="00877878"/>
    <w:rPr>
      <w:rFonts w:ascii="Times New Roman" w:hAnsi="Times New Roman" w:cs="Times New Roman"/>
      <w:sz w:val="20"/>
      <w:szCs w:val="20"/>
      <w:shd w:val="clear" w:color="auto" w:fill="auto"/>
      <w:lang w:val="en-GB"/>
    </w:rPr>
  </w:style>
  <w:style w:type="character" w:customStyle="1" w:styleId="Nadpis1Char">
    <w:name w:val="Nadpis 1 Char"/>
    <w:basedOn w:val="Standardnpsmoodstavce"/>
    <w:link w:val="Nadpis1"/>
    <w:uiPriority w:val="9"/>
    <w:rsid w:val="00877878"/>
    <w:rPr>
      <w:rFonts w:ascii="Times New Roman" w:eastAsiaTheme="majorEastAsia" w:hAnsi="Times New Roman" w:cs="Times New Roman"/>
      <w:b/>
      <w:bCs/>
      <w:smallCaps/>
      <w:sz w:val="24"/>
      <w:szCs w:val="28"/>
      <w:lang w:val="en-GB"/>
    </w:rPr>
  </w:style>
  <w:style w:type="character" w:customStyle="1" w:styleId="Nadpis2Char">
    <w:name w:val="Nadpis 2 Char"/>
    <w:basedOn w:val="Standardnpsmoodstavce"/>
    <w:link w:val="Nadpis2"/>
    <w:uiPriority w:val="9"/>
    <w:semiHidden/>
    <w:rsid w:val="00877878"/>
    <w:rPr>
      <w:rFonts w:ascii="Times New Roman" w:eastAsiaTheme="majorEastAsia" w:hAnsi="Times New Roman" w:cs="Times New Roman"/>
      <w:b/>
      <w:bCs/>
      <w:sz w:val="24"/>
      <w:szCs w:val="26"/>
      <w:lang w:val="en-GB"/>
    </w:rPr>
  </w:style>
  <w:style w:type="character" w:customStyle="1" w:styleId="Nadpis3Char">
    <w:name w:val="Nadpis 3 Char"/>
    <w:basedOn w:val="Standardnpsmoodstavce"/>
    <w:link w:val="Nadpis3"/>
    <w:uiPriority w:val="9"/>
    <w:semiHidden/>
    <w:rsid w:val="00877878"/>
    <w:rPr>
      <w:rFonts w:ascii="Times New Roman" w:eastAsiaTheme="majorEastAsia" w:hAnsi="Times New Roman" w:cs="Times New Roman"/>
      <w:bCs/>
      <w:i/>
      <w:sz w:val="24"/>
      <w:lang w:val="en-GB"/>
    </w:rPr>
  </w:style>
  <w:style w:type="character" w:customStyle="1" w:styleId="Nadpis4Char">
    <w:name w:val="Nadpis 4 Char"/>
    <w:basedOn w:val="Standardnpsmoodstavce"/>
    <w:link w:val="Nadpis4"/>
    <w:uiPriority w:val="9"/>
    <w:semiHidden/>
    <w:rsid w:val="00877878"/>
    <w:rPr>
      <w:rFonts w:ascii="Times New Roman" w:eastAsiaTheme="majorEastAsia" w:hAnsi="Times New Roman" w:cs="Times New Roman"/>
      <w:bCs/>
      <w:iCs/>
      <w:sz w:val="24"/>
      <w:lang w:val="en-GB"/>
    </w:rPr>
  </w:style>
  <w:style w:type="paragraph" w:styleId="Nadpisobsahu">
    <w:name w:val="TOC Heading"/>
    <w:basedOn w:val="Normln"/>
    <w:next w:val="Normln"/>
    <w:uiPriority w:val="39"/>
    <w:semiHidden/>
    <w:unhideWhenUsed/>
    <w:qFormat/>
    <w:rsid w:val="00877878"/>
    <w:pPr>
      <w:spacing w:after="240"/>
      <w:jc w:val="center"/>
    </w:pPr>
    <w:rPr>
      <w:b/>
      <w:sz w:val="28"/>
    </w:rPr>
  </w:style>
  <w:style w:type="paragraph" w:styleId="Obsah1">
    <w:name w:val="toc 1"/>
    <w:basedOn w:val="Normln"/>
    <w:next w:val="Normln"/>
    <w:uiPriority w:val="39"/>
    <w:semiHidden/>
    <w:unhideWhenUsed/>
    <w:rsid w:val="00877878"/>
    <w:pPr>
      <w:tabs>
        <w:tab w:val="right" w:leader="dot" w:pos="9071"/>
      </w:tabs>
      <w:spacing w:before="60"/>
      <w:ind w:left="850" w:hanging="850"/>
      <w:jc w:val="left"/>
    </w:pPr>
  </w:style>
  <w:style w:type="paragraph" w:styleId="Obsah2">
    <w:name w:val="toc 2"/>
    <w:basedOn w:val="Normln"/>
    <w:next w:val="Normln"/>
    <w:uiPriority w:val="39"/>
    <w:semiHidden/>
    <w:unhideWhenUsed/>
    <w:rsid w:val="00877878"/>
    <w:pPr>
      <w:tabs>
        <w:tab w:val="right" w:leader="dot" w:pos="9071"/>
      </w:tabs>
      <w:spacing w:before="60"/>
      <w:ind w:left="850" w:hanging="850"/>
      <w:jc w:val="left"/>
    </w:pPr>
  </w:style>
  <w:style w:type="paragraph" w:styleId="Obsah3">
    <w:name w:val="toc 3"/>
    <w:basedOn w:val="Normln"/>
    <w:next w:val="Normln"/>
    <w:uiPriority w:val="39"/>
    <w:semiHidden/>
    <w:unhideWhenUsed/>
    <w:rsid w:val="00877878"/>
    <w:pPr>
      <w:tabs>
        <w:tab w:val="right" w:leader="dot" w:pos="9071"/>
      </w:tabs>
      <w:spacing w:before="60"/>
      <w:ind w:left="850" w:hanging="850"/>
      <w:jc w:val="left"/>
    </w:pPr>
  </w:style>
  <w:style w:type="paragraph" w:styleId="Obsah4">
    <w:name w:val="toc 4"/>
    <w:basedOn w:val="Normln"/>
    <w:next w:val="Normln"/>
    <w:uiPriority w:val="39"/>
    <w:semiHidden/>
    <w:unhideWhenUsed/>
    <w:rsid w:val="00877878"/>
    <w:pPr>
      <w:tabs>
        <w:tab w:val="right" w:leader="dot" w:pos="9071"/>
      </w:tabs>
      <w:spacing w:before="60"/>
      <w:ind w:left="850" w:hanging="850"/>
      <w:jc w:val="left"/>
    </w:pPr>
  </w:style>
  <w:style w:type="paragraph" w:styleId="Obsah5">
    <w:name w:val="toc 5"/>
    <w:basedOn w:val="Normln"/>
    <w:next w:val="Normln"/>
    <w:uiPriority w:val="39"/>
    <w:semiHidden/>
    <w:unhideWhenUsed/>
    <w:rsid w:val="00877878"/>
    <w:pPr>
      <w:tabs>
        <w:tab w:val="right" w:leader="dot" w:pos="9071"/>
      </w:tabs>
      <w:spacing w:before="300"/>
      <w:jc w:val="left"/>
    </w:pPr>
  </w:style>
  <w:style w:type="paragraph" w:styleId="Obsah6">
    <w:name w:val="toc 6"/>
    <w:basedOn w:val="Normln"/>
    <w:next w:val="Normln"/>
    <w:uiPriority w:val="39"/>
    <w:semiHidden/>
    <w:unhideWhenUsed/>
    <w:rsid w:val="00877878"/>
    <w:pPr>
      <w:tabs>
        <w:tab w:val="right" w:leader="dot" w:pos="9071"/>
      </w:tabs>
      <w:spacing w:before="240"/>
      <w:jc w:val="left"/>
    </w:pPr>
  </w:style>
  <w:style w:type="paragraph" w:styleId="Obsah7">
    <w:name w:val="toc 7"/>
    <w:basedOn w:val="Normln"/>
    <w:next w:val="Normln"/>
    <w:uiPriority w:val="39"/>
    <w:semiHidden/>
    <w:unhideWhenUsed/>
    <w:rsid w:val="00877878"/>
    <w:pPr>
      <w:tabs>
        <w:tab w:val="right" w:leader="dot" w:pos="9071"/>
      </w:tabs>
      <w:spacing w:before="180"/>
      <w:jc w:val="left"/>
    </w:pPr>
  </w:style>
  <w:style w:type="paragraph" w:styleId="Obsah8">
    <w:name w:val="toc 8"/>
    <w:basedOn w:val="Normln"/>
    <w:next w:val="Normln"/>
    <w:uiPriority w:val="39"/>
    <w:semiHidden/>
    <w:unhideWhenUsed/>
    <w:rsid w:val="00877878"/>
    <w:pPr>
      <w:tabs>
        <w:tab w:val="right" w:leader="dot" w:pos="9071"/>
      </w:tabs>
      <w:jc w:val="left"/>
    </w:pPr>
  </w:style>
  <w:style w:type="paragraph" w:styleId="Obsah9">
    <w:name w:val="toc 9"/>
    <w:basedOn w:val="Normln"/>
    <w:next w:val="Normln"/>
    <w:uiPriority w:val="39"/>
    <w:semiHidden/>
    <w:unhideWhenUsed/>
    <w:rsid w:val="00877878"/>
    <w:pPr>
      <w:tabs>
        <w:tab w:val="right" w:leader="dot" w:pos="9071"/>
      </w:tabs>
    </w:pPr>
  </w:style>
  <w:style w:type="paragraph" w:customStyle="1" w:styleId="HeaderLandscape">
    <w:name w:val="HeaderLandscape"/>
    <w:basedOn w:val="Normln"/>
    <w:rsid w:val="00DA02CA"/>
    <w:pPr>
      <w:tabs>
        <w:tab w:val="center" w:pos="7285"/>
        <w:tab w:val="right" w:pos="14003"/>
      </w:tabs>
      <w:spacing w:before="0"/>
    </w:pPr>
    <w:rPr>
      <w:lang w:eastAsia="en-US" w:bidi="ar-SA"/>
    </w:rPr>
  </w:style>
  <w:style w:type="paragraph" w:customStyle="1" w:styleId="FooterLandscape">
    <w:name w:val="FooterLandscape"/>
    <w:basedOn w:val="Normln"/>
    <w:rsid w:val="00DA02CA"/>
    <w:pPr>
      <w:tabs>
        <w:tab w:val="center" w:pos="7285"/>
        <w:tab w:val="center" w:pos="10913"/>
        <w:tab w:val="right" w:pos="15137"/>
      </w:tabs>
      <w:spacing w:before="360" w:after="0"/>
      <w:ind w:left="-567" w:right="-567"/>
      <w:jc w:val="left"/>
    </w:pPr>
    <w:rPr>
      <w:lang w:eastAsia="en-US" w:bidi="ar-SA"/>
    </w:rPr>
  </w:style>
  <w:style w:type="character" w:styleId="Znakapoznpodarou">
    <w:name w:val="footnote reference"/>
    <w:basedOn w:val="Standardnpsmoodstavce"/>
    <w:uiPriority w:val="99"/>
    <w:semiHidden/>
    <w:unhideWhenUsed/>
    <w:rsid w:val="00877878"/>
    <w:rPr>
      <w:shd w:val="clear" w:color="auto" w:fill="auto"/>
      <w:vertAlign w:val="superscript"/>
    </w:rPr>
  </w:style>
  <w:style w:type="paragraph" w:customStyle="1" w:styleId="HeaderSensitivity">
    <w:name w:val="Header Sensitivity"/>
    <w:basedOn w:val="Normln"/>
    <w:rsid w:val="00DA02CA"/>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ln"/>
    <w:rsid w:val="00DA02CA"/>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ln"/>
    <w:rsid w:val="00877878"/>
    <w:pPr>
      <w:ind w:left="850"/>
    </w:pPr>
  </w:style>
  <w:style w:type="paragraph" w:customStyle="1" w:styleId="Text2">
    <w:name w:val="Text 2"/>
    <w:basedOn w:val="Normln"/>
    <w:rsid w:val="00877878"/>
    <w:pPr>
      <w:ind w:left="1417"/>
    </w:pPr>
  </w:style>
  <w:style w:type="paragraph" w:customStyle="1" w:styleId="Text3">
    <w:name w:val="Text 3"/>
    <w:basedOn w:val="Normln"/>
    <w:rsid w:val="00877878"/>
    <w:pPr>
      <w:ind w:left="1984"/>
    </w:pPr>
  </w:style>
  <w:style w:type="paragraph" w:customStyle="1" w:styleId="Text4">
    <w:name w:val="Text 4"/>
    <w:basedOn w:val="Normln"/>
    <w:rsid w:val="00877878"/>
    <w:pPr>
      <w:ind w:left="2551"/>
    </w:pPr>
  </w:style>
  <w:style w:type="paragraph" w:customStyle="1" w:styleId="NormalCentered">
    <w:name w:val="Normal Centered"/>
    <w:basedOn w:val="Normln"/>
    <w:rsid w:val="00877878"/>
    <w:pPr>
      <w:jc w:val="center"/>
    </w:pPr>
  </w:style>
  <w:style w:type="paragraph" w:customStyle="1" w:styleId="NormalLeft">
    <w:name w:val="Normal Left"/>
    <w:basedOn w:val="Normln"/>
    <w:rsid w:val="00877878"/>
    <w:pPr>
      <w:jc w:val="left"/>
    </w:pPr>
  </w:style>
  <w:style w:type="paragraph" w:customStyle="1" w:styleId="NormalRight">
    <w:name w:val="Normal Right"/>
    <w:basedOn w:val="Normln"/>
    <w:rsid w:val="00877878"/>
    <w:pPr>
      <w:jc w:val="right"/>
    </w:pPr>
  </w:style>
  <w:style w:type="paragraph" w:customStyle="1" w:styleId="QuotedText">
    <w:name w:val="Quoted Text"/>
    <w:basedOn w:val="Normln"/>
    <w:rsid w:val="00877878"/>
    <w:pPr>
      <w:ind w:left="1417"/>
    </w:pPr>
  </w:style>
  <w:style w:type="paragraph" w:customStyle="1" w:styleId="Point0">
    <w:name w:val="Point 0"/>
    <w:basedOn w:val="Normln"/>
    <w:rsid w:val="00877878"/>
    <w:pPr>
      <w:ind w:left="850" w:hanging="850"/>
    </w:pPr>
  </w:style>
  <w:style w:type="paragraph" w:customStyle="1" w:styleId="Point1">
    <w:name w:val="Point 1"/>
    <w:basedOn w:val="Normln"/>
    <w:rsid w:val="00877878"/>
    <w:pPr>
      <w:ind w:left="1417" w:hanging="567"/>
    </w:pPr>
  </w:style>
  <w:style w:type="paragraph" w:customStyle="1" w:styleId="Point2">
    <w:name w:val="Point 2"/>
    <w:basedOn w:val="Normln"/>
    <w:rsid w:val="00877878"/>
    <w:pPr>
      <w:ind w:left="1984" w:hanging="567"/>
    </w:pPr>
  </w:style>
  <w:style w:type="paragraph" w:customStyle="1" w:styleId="Point3">
    <w:name w:val="Point 3"/>
    <w:basedOn w:val="Normln"/>
    <w:rsid w:val="00877878"/>
    <w:pPr>
      <w:ind w:left="2551" w:hanging="567"/>
    </w:pPr>
  </w:style>
  <w:style w:type="paragraph" w:customStyle="1" w:styleId="Point4">
    <w:name w:val="Point 4"/>
    <w:basedOn w:val="Normln"/>
    <w:rsid w:val="00877878"/>
    <w:pPr>
      <w:ind w:left="3118" w:hanging="567"/>
    </w:pPr>
  </w:style>
  <w:style w:type="paragraph" w:customStyle="1" w:styleId="Tiret0">
    <w:name w:val="Tiret 0"/>
    <w:basedOn w:val="Point0"/>
    <w:rsid w:val="00877878"/>
    <w:pPr>
      <w:numPr>
        <w:numId w:val="28"/>
      </w:numPr>
    </w:pPr>
  </w:style>
  <w:style w:type="paragraph" w:customStyle="1" w:styleId="Tiret1">
    <w:name w:val="Tiret 1"/>
    <w:basedOn w:val="Point1"/>
    <w:rsid w:val="00877878"/>
    <w:pPr>
      <w:numPr>
        <w:numId w:val="29"/>
      </w:numPr>
    </w:pPr>
  </w:style>
  <w:style w:type="paragraph" w:customStyle="1" w:styleId="Tiret2">
    <w:name w:val="Tiret 2"/>
    <w:basedOn w:val="Point2"/>
    <w:rsid w:val="00877878"/>
    <w:pPr>
      <w:numPr>
        <w:numId w:val="30"/>
      </w:numPr>
    </w:pPr>
  </w:style>
  <w:style w:type="paragraph" w:customStyle="1" w:styleId="Tiret3">
    <w:name w:val="Tiret 3"/>
    <w:basedOn w:val="Point3"/>
    <w:rsid w:val="00877878"/>
    <w:pPr>
      <w:numPr>
        <w:numId w:val="31"/>
      </w:numPr>
    </w:pPr>
  </w:style>
  <w:style w:type="paragraph" w:customStyle="1" w:styleId="Tiret4">
    <w:name w:val="Tiret 4"/>
    <w:basedOn w:val="Point4"/>
    <w:rsid w:val="00877878"/>
    <w:pPr>
      <w:numPr>
        <w:numId w:val="32"/>
      </w:numPr>
    </w:pPr>
  </w:style>
  <w:style w:type="paragraph" w:customStyle="1" w:styleId="PointDouble0">
    <w:name w:val="PointDouble 0"/>
    <w:basedOn w:val="Normln"/>
    <w:rsid w:val="00877878"/>
    <w:pPr>
      <w:tabs>
        <w:tab w:val="left" w:pos="850"/>
      </w:tabs>
      <w:ind w:left="1417" w:hanging="1417"/>
    </w:pPr>
  </w:style>
  <w:style w:type="paragraph" w:customStyle="1" w:styleId="PointDouble1">
    <w:name w:val="PointDouble 1"/>
    <w:basedOn w:val="Normln"/>
    <w:rsid w:val="00877878"/>
    <w:pPr>
      <w:tabs>
        <w:tab w:val="left" w:pos="1417"/>
      </w:tabs>
      <w:ind w:left="1984" w:hanging="1134"/>
    </w:pPr>
  </w:style>
  <w:style w:type="paragraph" w:customStyle="1" w:styleId="PointDouble2">
    <w:name w:val="PointDouble 2"/>
    <w:basedOn w:val="Normln"/>
    <w:rsid w:val="00877878"/>
    <w:pPr>
      <w:tabs>
        <w:tab w:val="left" w:pos="1984"/>
      </w:tabs>
      <w:ind w:left="2551" w:hanging="1134"/>
    </w:pPr>
  </w:style>
  <w:style w:type="paragraph" w:customStyle="1" w:styleId="PointDouble3">
    <w:name w:val="PointDouble 3"/>
    <w:basedOn w:val="Normln"/>
    <w:rsid w:val="00877878"/>
    <w:pPr>
      <w:tabs>
        <w:tab w:val="left" w:pos="2551"/>
      </w:tabs>
      <w:ind w:left="3118" w:hanging="1134"/>
    </w:pPr>
  </w:style>
  <w:style w:type="paragraph" w:customStyle="1" w:styleId="PointDouble4">
    <w:name w:val="PointDouble 4"/>
    <w:basedOn w:val="Normln"/>
    <w:rsid w:val="00877878"/>
    <w:pPr>
      <w:tabs>
        <w:tab w:val="left" w:pos="3118"/>
      </w:tabs>
      <w:ind w:left="3685" w:hanging="1134"/>
    </w:pPr>
  </w:style>
  <w:style w:type="paragraph" w:customStyle="1" w:styleId="PointTriple0">
    <w:name w:val="PointTriple 0"/>
    <w:basedOn w:val="Normln"/>
    <w:rsid w:val="00877878"/>
    <w:pPr>
      <w:tabs>
        <w:tab w:val="left" w:pos="850"/>
        <w:tab w:val="left" w:pos="1417"/>
      </w:tabs>
      <w:ind w:left="1984" w:hanging="1984"/>
    </w:pPr>
  </w:style>
  <w:style w:type="paragraph" w:customStyle="1" w:styleId="PointTriple1">
    <w:name w:val="PointTriple 1"/>
    <w:basedOn w:val="Normln"/>
    <w:rsid w:val="00877878"/>
    <w:pPr>
      <w:tabs>
        <w:tab w:val="left" w:pos="1417"/>
        <w:tab w:val="left" w:pos="1984"/>
      </w:tabs>
      <w:ind w:left="2551" w:hanging="1701"/>
    </w:pPr>
  </w:style>
  <w:style w:type="paragraph" w:customStyle="1" w:styleId="PointTriple2">
    <w:name w:val="PointTriple 2"/>
    <w:basedOn w:val="Normln"/>
    <w:rsid w:val="00877878"/>
    <w:pPr>
      <w:tabs>
        <w:tab w:val="left" w:pos="1984"/>
        <w:tab w:val="left" w:pos="2551"/>
      </w:tabs>
      <w:ind w:left="3118" w:hanging="1701"/>
    </w:pPr>
  </w:style>
  <w:style w:type="paragraph" w:customStyle="1" w:styleId="PointTriple3">
    <w:name w:val="PointTriple 3"/>
    <w:basedOn w:val="Normln"/>
    <w:rsid w:val="00877878"/>
    <w:pPr>
      <w:tabs>
        <w:tab w:val="left" w:pos="2551"/>
        <w:tab w:val="left" w:pos="3118"/>
      </w:tabs>
      <w:ind w:left="3685" w:hanging="1701"/>
    </w:pPr>
  </w:style>
  <w:style w:type="paragraph" w:customStyle="1" w:styleId="PointTriple4">
    <w:name w:val="PointTriple 4"/>
    <w:basedOn w:val="Normln"/>
    <w:rsid w:val="00877878"/>
    <w:pPr>
      <w:tabs>
        <w:tab w:val="left" w:pos="3118"/>
        <w:tab w:val="left" w:pos="3685"/>
      </w:tabs>
      <w:ind w:left="4252" w:hanging="1701"/>
    </w:pPr>
  </w:style>
  <w:style w:type="paragraph" w:customStyle="1" w:styleId="NumPar1">
    <w:name w:val="NumPar 1"/>
    <w:basedOn w:val="Normln"/>
    <w:next w:val="Text1"/>
    <w:rsid w:val="00877878"/>
    <w:pPr>
      <w:numPr>
        <w:numId w:val="33"/>
      </w:numPr>
    </w:pPr>
  </w:style>
  <w:style w:type="paragraph" w:customStyle="1" w:styleId="NumPar2">
    <w:name w:val="NumPar 2"/>
    <w:basedOn w:val="Normln"/>
    <w:next w:val="Text1"/>
    <w:rsid w:val="00877878"/>
    <w:pPr>
      <w:numPr>
        <w:ilvl w:val="1"/>
        <w:numId w:val="33"/>
      </w:numPr>
    </w:pPr>
  </w:style>
  <w:style w:type="paragraph" w:customStyle="1" w:styleId="NumPar3">
    <w:name w:val="NumPar 3"/>
    <w:basedOn w:val="Normln"/>
    <w:next w:val="Text1"/>
    <w:rsid w:val="00877878"/>
    <w:pPr>
      <w:numPr>
        <w:ilvl w:val="2"/>
        <w:numId w:val="33"/>
      </w:numPr>
    </w:pPr>
  </w:style>
  <w:style w:type="paragraph" w:customStyle="1" w:styleId="NumPar4">
    <w:name w:val="NumPar 4"/>
    <w:basedOn w:val="Normln"/>
    <w:next w:val="Text1"/>
    <w:rsid w:val="00877878"/>
    <w:pPr>
      <w:numPr>
        <w:ilvl w:val="3"/>
        <w:numId w:val="33"/>
      </w:numPr>
    </w:pPr>
  </w:style>
  <w:style w:type="paragraph" w:customStyle="1" w:styleId="ManualNumPar1">
    <w:name w:val="Manual NumPar 1"/>
    <w:basedOn w:val="Normln"/>
    <w:next w:val="Text1"/>
    <w:rsid w:val="00877878"/>
    <w:pPr>
      <w:ind w:left="850" w:hanging="850"/>
    </w:pPr>
  </w:style>
  <w:style w:type="paragraph" w:customStyle="1" w:styleId="ManualNumPar2">
    <w:name w:val="Manual NumPar 2"/>
    <w:basedOn w:val="Normln"/>
    <w:next w:val="Text1"/>
    <w:rsid w:val="00877878"/>
    <w:pPr>
      <w:ind w:left="850" w:hanging="850"/>
    </w:pPr>
  </w:style>
  <w:style w:type="paragraph" w:customStyle="1" w:styleId="ManualNumPar3">
    <w:name w:val="Manual NumPar 3"/>
    <w:basedOn w:val="Normln"/>
    <w:next w:val="Text1"/>
    <w:rsid w:val="00877878"/>
    <w:pPr>
      <w:ind w:left="850" w:hanging="850"/>
    </w:pPr>
  </w:style>
  <w:style w:type="paragraph" w:customStyle="1" w:styleId="ManualNumPar4">
    <w:name w:val="Manual NumPar 4"/>
    <w:basedOn w:val="Normln"/>
    <w:next w:val="Text1"/>
    <w:rsid w:val="00877878"/>
    <w:pPr>
      <w:ind w:left="850" w:hanging="850"/>
    </w:pPr>
  </w:style>
  <w:style w:type="paragraph" w:customStyle="1" w:styleId="QuotedNumPar">
    <w:name w:val="Quoted NumPar"/>
    <w:basedOn w:val="Normln"/>
    <w:rsid w:val="00877878"/>
    <w:pPr>
      <w:ind w:left="1417" w:hanging="567"/>
    </w:pPr>
  </w:style>
  <w:style w:type="paragraph" w:customStyle="1" w:styleId="ManualHeading1">
    <w:name w:val="Manual Heading 1"/>
    <w:basedOn w:val="Normln"/>
    <w:next w:val="Text1"/>
    <w:rsid w:val="00877878"/>
    <w:pPr>
      <w:keepNext/>
      <w:tabs>
        <w:tab w:val="left" w:pos="850"/>
      </w:tabs>
      <w:spacing w:before="360"/>
      <w:ind w:left="850" w:hanging="850"/>
      <w:outlineLvl w:val="0"/>
    </w:pPr>
    <w:rPr>
      <w:b/>
      <w:smallCaps/>
    </w:rPr>
  </w:style>
  <w:style w:type="paragraph" w:customStyle="1" w:styleId="ManualHeading2">
    <w:name w:val="Manual Heading 2"/>
    <w:basedOn w:val="Normln"/>
    <w:next w:val="Text1"/>
    <w:rsid w:val="00877878"/>
    <w:pPr>
      <w:keepNext/>
      <w:tabs>
        <w:tab w:val="left" w:pos="850"/>
      </w:tabs>
      <w:ind w:left="850" w:hanging="850"/>
      <w:outlineLvl w:val="1"/>
    </w:pPr>
    <w:rPr>
      <w:b/>
    </w:rPr>
  </w:style>
  <w:style w:type="paragraph" w:customStyle="1" w:styleId="ManualHeading3">
    <w:name w:val="Manual Heading 3"/>
    <w:basedOn w:val="Normln"/>
    <w:next w:val="Text1"/>
    <w:rsid w:val="00877878"/>
    <w:pPr>
      <w:keepNext/>
      <w:tabs>
        <w:tab w:val="left" w:pos="850"/>
      </w:tabs>
      <w:ind w:left="850" w:hanging="850"/>
      <w:outlineLvl w:val="2"/>
    </w:pPr>
    <w:rPr>
      <w:i/>
    </w:rPr>
  </w:style>
  <w:style w:type="paragraph" w:customStyle="1" w:styleId="ManualHeading4">
    <w:name w:val="Manual Heading 4"/>
    <w:basedOn w:val="Normln"/>
    <w:next w:val="Text1"/>
    <w:rsid w:val="00877878"/>
    <w:pPr>
      <w:keepNext/>
      <w:tabs>
        <w:tab w:val="left" w:pos="850"/>
      </w:tabs>
      <w:ind w:left="850" w:hanging="850"/>
      <w:outlineLvl w:val="3"/>
    </w:pPr>
  </w:style>
  <w:style w:type="paragraph" w:customStyle="1" w:styleId="ChapterTitle">
    <w:name w:val="ChapterTitle"/>
    <w:basedOn w:val="Normln"/>
    <w:next w:val="Normln"/>
    <w:rsid w:val="00877878"/>
    <w:pPr>
      <w:keepNext/>
      <w:spacing w:after="360"/>
      <w:jc w:val="center"/>
    </w:pPr>
    <w:rPr>
      <w:b/>
      <w:sz w:val="32"/>
    </w:rPr>
  </w:style>
  <w:style w:type="paragraph" w:customStyle="1" w:styleId="PartTitle">
    <w:name w:val="PartTitle"/>
    <w:basedOn w:val="Normln"/>
    <w:next w:val="ChapterTitle"/>
    <w:rsid w:val="00877878"/>
    <w:pPr>
      <w:keepNext/>
      <w:pageBreakBefore/>
      <w:spacing w:after="360"/>
      <w:jc w:val="center"/>
    </w:pPr>
    <w:rPr>
      <w:b/>
      <w:sz w:val="36"/>
    </w:rPr>
  </w:style>
  <w:style w:type="paragraph" w:customStyle="1" w:styleId="SectionTitle">
    <w:name w:val="SectionTitle"/>
    <w:basedOn w:val="Normln"/>
    <w:next w:val="Nadpis1"/>
    <w:rsid w:val="00877878"/>
    <w:pPr>
      <w:keepNext/>
      <w:spacing w:after="360"/>
      <w:jc w:val="center"/>
    </w:pPr>
    <w:rPr>
      <w:b/>
      <w:smallCaps/>
      <w:sz w:val="28"/>
    </w:rPr>
  </w:style>
  <w:style w:type="paragraph" w:customStyle="1" w:styleId="TableTitle">
    <w:name w:val="Table Title"/>
    <w:basedOn w:val="Normln"/>
    <w:next w:val="Normln"/>
    <w:rsid w:val="00877878"/>
    <w:pPr>
      <w:jc w:val="center"/>
    </w:pPr>
    <w:rPr>
      <w:b/>
    </w:rPr>
  </w:style>
  <w:style w:type="character" w:customStyle="1" w:styleId="Marker">
    <w:name w:val="Marker"/>
    <w:basedOn w:val="Standardnpsmoodstavce"/>
    <w:rsid w:val="00877878"/>
    <w:rPr>
      <w:color w:val="0000FF"/>
      <w:shd w:val="clear" w:color="auto" w:fill="auto"/>
    </w:rPr>
  </w:style>
  <w:style w:type="character" w:customStyle="1" w:styleId="Marker1">
    <w:name w:val="Marker1"/>
    <w:basedOn w:val="Standardnpsmoodstavce"/>
    <w:rsid w:val="00877878"/>
    <w:rPr>
      <w:color w:val="008000"/>
      <w:shd w:val="clear" w:color="auto" w:fill="auto"/>
    </w:rPr>
  </w:style>
  <w:style w:type="character" w:customStyle="1" w:styleId="Marker2">
    <w:name w:val="Marker2"/>
    <w:basedOn w:val="Standardnpsmoodstavce"/>
    <w:rsid w:val="00877878"/>
    <w:rPr>
      <w:color w:val="FF0000"/>
      <w:shd w:val="clear" w:color="auto" w:fill="auto"/>
    </w:rPr>
  </w:style>
  <w:style w:type="paragraph" w:customStyle="1" w:styleId="Point0number">
    <w:name w:val="Point 0 (number)"/>
    <w:basedOn w:val="Normln"/>
    <w:rsid w:val="00877878"/>
    <w:pPr>
      <w:numPr>
        <w:numId w:val="35"/>
      </w:numPr>
    </w:pPr>
  </w:style>
  <w:style w:type="paragraph" w:customStyle="1" w:styleId="Point1number">
    <w:name w:val="Point 1 (number)"/>
    <w:basedOn w:val="Normln"/>
    <w:rsid w:val="00877878"/>
    <w:pPr>
      <w:numPr>
        <w:ilvl w:val="2"/>
        <w:numId w:val="35"/>
      </w:numPr>
    </w:pPr>
  </w:style>
  <w:style w:type="paragraph" w:customStyle="1" w:styleId="Point2number">
    <w:name w:val="Point 2 (number)"/>
    <w:basedOn w:val="Normln"/>
    <w:rsid w:val="00877878"/>
    <w:pPr>
      <w:numPr>
        <w:ilvl w:val="4"/>
        <w:numId w:val="35"/>
      </w:numPr>
    </w:pPr>
  </w:style>
  <w:style w:type="paragraph" w:customStyle="1" w:styleId="Point3number">
    <w:name w:val="Point 3 (number)"/>
    <w:basedOn w:val="Normln"/>
    <w:rsid w:val="00877878"/>
    <w:pPr>
      <w:numPr>
        <w:ilvl w:val="6"/>
        <w:numId w:val="35"/>
      </w:numPr>
    </w:pPr>
  </w:style>
  <w:style w:type="paragraph" w:customStyle="1" w:styleId="Point0letter">
    <w:name w:val="Point 0 (letter)"/>
    <w:basedOn w:val="Normln"/>
    <w:rsid w:val="00877878"/>
    <w:pPr>
      <w:numPr>
        <w:ilvl w:val="1"/>
        <w:numId w:val="35"/>
      </w:numPr>
    </w:pPr>
  </w:style>
  <w:style w:type="paragraph" w:customStyle="1" w:styleId="Point1letter">
    <w:name w:val="Point 1 (letter)"/>
    <w:basedOn w:val="Normln"/>
    <w:rsid w:val="00877878"/>
    <w:pPr>
      <w:numPr>
        <w:ilvl w:val="3"/>
        <w:numId w:val="35"/>
      </w:numPr>
    </w:pPr>
  </w:style>
  <w:style w:type="paragraph" w:customStyle="1" w:styleId="Point2letter">
    <w:name w:val="Point 2 (letter)"/>
    <w:basedOn w:val="Normln"/>
    <w:rsid w:val="00877878"/>
    <w:pPr>
      <w:numPr>
        <w:ilvl w:val="5"/>
        <w:numId w:val="35"/>
      </w:numPr>
    </w:pPr>
  </w:style>
  <w:style w:type="paragraph" w:customStyle="1" w:styleId="Point3letter">
    <w:name w:val="Point 3 (letter)"/>
    <w:basedOn w:val="Normln"/>
    <w:rsid w:val="00877878"/>
    <w:pPr>
      <w:numPr>
        <w:ilvl w:val="7"/>
        <w:numId w:val="35"/>
      </w:numPr>
    </w:pPr>
  </w:style>
  <w:style w:type="paragraph" w:customStyle="1" w:styleId="Point4letter">
    <w:name w:val="Point 4 (letter)"/>
    <w:basedOn w:val="Normln"/>
    <w:rsid w:val="00877878"/>
    <w:pPr>
      <w:numPr>
        <w:ilvl w:val="8"/>
        <w:numId w:val="35"/>
      </w:numPr>
    </w:pPr>
  </w:style>
  <w:style w:type="paragraph" w:customStyle="1" w:styleId="Bullet0">
    <w:name w:val="Bullet 0"/>
    <w:basedOn w:val="Normln"/>
    <w:rsid w:val="00877878"/>
    <w:pPr>
      <w:numPr>
        <w:numId w:val="36"/>
      </w:numPr>
    </w:pPr>
  </w:style>
  <w:style w:type="paragraph" w:customStyle="1" w:styleId="Bullet1">
    <w:name w:val="Bullet 1"/>
    <w:basedOn w:val="Normln"/>
    <w:rsid w:val="00877878"/>
    <w:pPr>
      <w:numPr>
        <w:numId w:val="37"/>
      </w:numPr>
    </w:pPr>
  </w:style>
  <w:style w:type="paragraph" w:customStyle="1" w:styleId="Bullet2">
    <w:name w:val="Bullet 2"/>
    <w:basedOn w:val="Normln"/>
    <w:rsid w:val="00877878"/>
    <w:pPr>
      <w:numPr>
        <w:numId w:val="38"/>
      </w:numPr>
    </w:pPr>
  </w:style>
  <w:style w:type="paragraph" w:customStyle="1" w:styleId="Bullet3">
    <w:name w:val="Bullet 3"/>
    <w:basedOn w:val="Normln"/>
    <w:rsid w:val="00877878"/>
    <w:pPr>
      <w:numPr>
        <w:numId w:val="39"/>
      </w:numPr>
    </w:pPr>
  </w:style>
  <w:style w:type="paragraph" w:customStyle="1" w:styleId="Bullet4">
    <w:name w:val="Bullet 4"/>
    <w:basedOn w:val="Normln"/>
    <w:rsid w:val="00877878"/>
    <w:pPr>
      <w:numPr>
        <w:numId w:val="40"/>
      </w:numPr>
    </w:pPr>
  </w:style>
  <w:style w:type="paragraph" w:customStyle="1" w:styleId="Langue">
    <w:name w:val="Langue"/>
    <w:basedOn w:val="Normln"/>
    <w:next w:val="Rfrenceinterne"/>
    <w:rsid w:val="00877878"/>
    <w:pPr>
      <w:framePr w:wrap="around" w:vAnchor="page" w:hAnchor="text" w:xAlign="center" w:y="14741"/>
      <w:spacing w:before="0" w:after="600"/>
      <w:jc w:val="center"/>
    </w:pPr>
    <w:rPr>
      <w:b/>
      <w:caps/>
    </w:rPr>
  </w:style>
  <w:style w:type="paragraph" w:customStyle="1" w:styleId="Nomdelinstitution">
    <w:name w:val="Nom de l'institution"/>
    <w:basedOn w:val="Normln"/>
    <w:next w:val="Emission"/>
    <w:rsid w:val="00877878"/>
    <w:pPr>
      <w:spacing w:before="0" w:after="0"/>
      <w:jc w:val="left"/>
    </w:pPr>
    <w:rPr>
      <w:rFonts w:ascii="Arial" w:hAnsi="Arial" w:cs="Arial"/>
    </w:rPr>
  </w:style>
  <w:style w:type="paragraph" w:customStyle="1" w:styleId="Emission">
    <w:name w:val="Emission"/>
    <w:basedOn w:val="Normln"/>
    <w:next w:val="Rfrenceinstitutionnelle"/>
    <w:rsid w:val="00877878"/>
    <w:pPr>
      <w:spacing w:before="0" w:after="0"/>
      <w:ind w:left="5103"/>
      <w:jc w:val="left"/>
    </w:pPr>
  </w:style>
  <w:style w:type="paragraph" w:customStyle="1" w:styleId="Rfrenceinstitutionnelle">
    <w:name w:val="Référence institutionnelle"/>
    <w:basedOn w:val="Normln"/>
    <w:next w:val="Confidentialit"/>
    <w:rsid w:val="00877878"/>
    <w:pPr>
      <w:spacing w:before="0" w:after="240"/>
      <w:ind w:left="5103"/>
      <w:jc w:val="left"/>
    </w:pPr>
  </w:style>
  <w:style w:type="paragraph" w:customStyle="1" w:styleId="Pagedecouverture">
    <w:name w:val="Page de couverture"/>
    <w:basedOn w:val="Normln"/>
    <w:next w:val="Normln"/>
    <w:rsid w:val="00877878"/>
    <w:pPr>
      <w:spacing w:before="0" w:after="0"/>
    </w:pPr>
  </w:style>
  <w:style w:type="paragraph" w:customStyle="1" w:styleId="Declassification">
    <w:name w:val="Declassification"/>
    <w:basedOn w:val="Normln"/>
    <w:next w:val="Normln"/>
    <w:rsid w:val="00877878"/>
    <w:pPr>
      <w:spacing w:before="0" w:after="0"/>
    </w:pPr>
  </w:style>
  <w:style w:type="paragraph" w:customStyle="1" w:styleId="Disclaimer">
    <w:name w:val="Disclaimer"/>
    <w:basedOn w:val="Normln"/>
    <w:rsid w:val="0087787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ln"/>
    <w:next w:val="Normln"/>
    <w:rsid w:val="00877878"/>
    <w:pPr>
      <w:jc w:val="center"/>
    </w:pPr>
    <w:rPr>
      <w:b/>
      <w:u w:val="single"/>
    </w:rPr>
  </w:style>
  <w:style w:type="paragraph" w:customStyle="1" w:styleId="Annexetitre">
    <w:name w:val="Annexe titre"/>
    <w:basedOn w:val="Normln"/>
    <w:next w:val="Normln"/>
    <w:rsid w:val="00877878"/>
    <w:pPr>
      <w:jc w:val="center"/>
    </w:pPr>
    <w:rPr>
      <w:b/>
      <w:u w:val="single"/>
    </w:rPr>
  </w:style>
  <w:style w:type="paragraph" w:customStyle="1" w:styleId="Annexetitrefichefinancire">
    <w:name w:val="Annexe titre (fiche financière)"/>
    <w:basedOn w:val="Normln"/>
    <w:next w:val="Normln"/>
    <w:rsid w:val="00877878"/>
    <w:pPr>
      <w:jc w:val="center"/>
    </w:pPr>
    <w:rPr>
      <w:b/>
      <w:u w:val="single"/>
    </w:rPr>
  </w:style>
  <w:style w:type="paragraph" w:customStyle="1" w:styleId="Applicationdirecte">
    <w:name w:val="Application directe"/>
    <w:basedOn w:val="Normln"/>
    <w:next w:val="Fait"/>
    <w:rsid w:val="00877878"/>
    <w:pPr>
      <w:spacing w:before="480"/>
    </w:pPr>
  </w:style>
  <w:style w:type="paragraph" w:customStyle="1" w:styleId="Avertissementtitre">
    <w:name w:val="Avertissement titre"/>
    <w:basedOn w:val="Normln"/>
    <w:next w:val="Normln"/>
    <w:rsid w:val="00877878"/>
    <w:pPr>
      <w:keepNext/>
      <w:spacing w:before="480"/>
    </w:pPr>
    <w:rPr>
      <w:u w:val="single"/>
    </w:rPr>
  </w:style>
  <w:style w:type="paragraph" w:customStyle="1" w:styleId="Confidence">
    <w:name w:val="Confidence"/>
    <w:basedOn w:val="Normln"/>
    <w:next w:val="Normln"/>
    <w:rsid w:val="00877878"/>
    <w:pPr>
      <w:spacing w:before="360"/>
      <w:jc w:val="center"/>
    </w:pPr>
  </w:style>
  <w:style w:type="paragraph" w:customStyle="1" w:styleId="Confidentialit">
    <w:name w:val="Confidentialité"/>
    <w:basedOn w:val="Normln"/>
    <w:next w:val="TypedudocumentPagedecouverture"/>
    <w:rsid w:val="00877878"/>
    <w:pPr>
      <w:spacing w:before="240" w:after="240"/>
      <w:ind w:left="5103"/>
      <w:jc w:val="left"/>
    </w:pPr>
    <w:rPr>
      <w:i/>
      <w:sz w:val="32"/>
    </w:rPr>
  </w:style>
  <w:style w:type="paragraph" w:customStyle="1" w:styleId="Considrant">
    <w:name w:val="Considérant"/>
    <w:basedOn w:val="Normln"/>
    <w:rsid w:val="00877878"/>
    <w:pPr>
      <w:numPr>
        <w:numId w:val="41"/>
      </w:numPr>
    </w:pPr>
  </w:style>
  <w:style w:type="paragraph" w:customStyle="1" w:styleId="Corrigendum">
    <w:name w:val="Corrigendum"/>
    <w:basedOn w:val="Normln"/>
    <w:next w:val="Normln"/>
    <w:rsid w:val="00877878"/>
    <w:pPr>
      <w:spacing w:before="0" w:after="240"/>
      <w:jc w:val="left"/>
    </w:pPr>
  </w:style>
  <w:style w:type="paragraph" w:customStyle="1" w:styleId="Datedadoption">
    <w:name w:val="Date d'adoption"/>
    <w:basedOn w:val="Normln"/>
    <w:next w:val="Titreobjet"/>
    <w:rsid w:val="00877878"/>
    <w:pPr>
      <w:spacing w:before="360" w:after="0"/>
      <w:jc w:val="center"/>
    </w:pPr>
    <w:rPr>
      <w:b/>
    </w:rPr>
  </w:style>
  <w:style w:type="paragraph" w:customStyle="1" w:styleId="Exposdesmotifstitre">
    <w:name w:val="Exposé des motifs titre"/>
    <w:basedOn w:val="Normln"/>
    <w:next w:val="Normln"/>
    <w:rsid w:val="00877878"/>
    <w:pPr>
      <w:jc w:val="center"/>
    </w:pPr>
    <w:rPr>
      <w:b/>
      <w:u w:val="single"/>
    </w:rPr>
  </w:style>
  <w:style w:type="paragraph" w:customStyle="1" w:styleId="Fait">
    <w:name w:val="Fait à"/>
    <w:basedOn w:val="Normln"/>
    <w:next w:val="Institutionquisigne"/>
    <w:rsid w:val="00877878"/>
    <w:pPr>
      <w:keepNext/>
      <w:spacing w:after="0"/>
    </w:pPr>
  </w:style>
  <w:style w:type="paragraph" w:customStyle="1" w:styleId="Formuledadoption">
    <w:name w:val="Formule d'adoption"/>
    <w:basedOn w:val="Normln"/>
    <w:next w:val="Titrearticle"/>
    <w:rsid w:val="00877878"/>
    <w:pPr>
      <w:keepNext/>
    </w:pPr>
  </w:style>
  <w:style w:type="paragraph" w:customStyle="1" w:styleId="Institutionquiagit">
    <w:name w:val="Institution qui agit"/>
    <w:basedOn w:val="Normln"/>
    <w:next w:val="Normln"/>
    <w:rsid w:val="00877878"/>
    <w:pPr>
      <w:keepNext/>
      <w:spacing w:before="600"/>
    </w:pPr>
  </w:style>
  <w:style w:type="paragraph" w:customStyle="1" w:styleId="Institutionquisigne">
    <w:name w:val="Institution qui signe"/>
    <w:basedOn w:val="Normln"/>
    <w:next w:val="Personnequisigne"/>
    <w:rsid w:val="00877878"/>
    <w:pPr>
      <w:keepNext/>
      <w:tabs>
        <w:tab w:val="left" w:pos="4252"/>
      </w:tabs>
      <w:spacing w:before="720" w:after="0"/>
    </w:pPr>
    <w:rPr>
      <w:i/>
    </w:rPr>
  </w:style>
  <w:style w:type="paragraph" w:customStyle="1" w:styleId="ManualConsidrant">
    <w:name w:val="Manual Considérant"/>
    <w:basedOn w:val="Normln"/>
    <w:rsid w:val="00877878"/>
    <w:pPr>
      <w:ind w:left="709" w:hanging="709"/>
    </w:pPr>
  </w:style>
  <w:style w:type="paragraph" w:customStyle="1" w:styleId="Personnequisigne">
    <w:name w:val="Personne qui signe"/>
    <w:basedOn w:val="Normln"/>
    <w:next w:val="Institutionquisigne"/>
    <w:rsid w:val="00877878"/>
    <w:pPr>
      <w:tabs>
        <w:tab w:val="left" w:pos="4252"/>
      </w:tabs>
      <w:spacing w:before="0" w:after="0"/>
      <w:jc w:val="left"/>
    </w:pPr>
    <w:rPr>
      <w:i/>
    </w:rPr>
  </w:style>
  <w:style w:type="paragraph" w:customStyle="1" w:styleId="Rfrenceinterinstitutionnelle">
    <w:name w:val="Référence interinstitutionnelle"/>
    <w:basedOn w:val="Normln"/>
    <w:next w:val="Statut"/>
    <w:rsid w:val="00877878"/>
    <w:pPr>
      <w:spacing w:before="0" w:after="0"/>
      <w:ind w:left="5103"/>
      <w:jc w:val="left"/>
    </w:pPr>
  </w:style>
  <w:style w:type="paragraph" w:customStyle="1" w:styleId="Rfrenceinterne">
    <w:name w:val="Référence interne"/>
    <w:basedOn w:val="Normln"/>
    <w:next w:val="Rfrenceinterinstitutionnelle"/>
    <w:rsid w:val="00877878"/>
    <w:pPr>
      <w:spacing w:before="0" w:after="0"/>
      <w:ind w:left="5103"/>
      <w:jc w:val="left"/>
    </w:pPr>
  </w:style>
  <w:style w:type="paragraph" w:customStyle="1" w:styleId="Statut">
    <w:name w:val="Statut"/>
    <w:basedOn w:val="Normln"/>
    <w:next w:val="Typedudocument"/>
    <w:rsid w:val="00877878"/>
    <w:pPr>
      <w:spacing w:before="360" w:after="0"/>
      <w:jc w:val="center"/>
    </w:pPr>
  </w:style>
  <w:style w:type="paragraph" w:customStyle="1" w:styleId="Titrearticle">
    <w:name w:val="Titre article"/>
    <w:basedOn w:val="Normln"/>
    <w:next w:val="Normln"/>
    <w:rsid w:val="00877878"/>
    <w:pPr>
      <w:keepNext/>
      <w:spacing w:before="360"/>
      <w:jc w:val="center"/>
    </w:pPr>
    <w:rPr>
      <w:i/>
    </w:rPr>
  </w:style>
  <w:style w:type="paragraph" w:customStyle="1" w:styleId="Titreobjet">
    <w:name w:val="Titre objet"/>
    <w:basedOn w:val="Normln"/>
    <w:next w:val="IntrtEEE"/>
    <w:rsid w:val="00877878"/>
    <w:pPr>
      <w:spacing w:before="360" w:after="360"/>
      <w:jc w:val="center"/>
    </w:pPr>
    <w:rPr>
      <w:b/>
    </w:rPr>
  </w:style>
  <w:style w:type="paragraph" w:customStyle="1" w:styleId="Typedudocument">
    <w:name w:val="Type du document"/>
    <w:basedOn w:val="Normln"/>
    <w:next w:val="Titreobjet"/>
    <w:rsid w:val="00877878"/>
    <w:pPr>
      <w:spacing w:before="360" w:after="0"/>
      <w:jc w:val="center"/>
    </w:pPr>
    <w:rPr>
      <w:b/>
    </w:rPr>
  </w:style>
  <w:style w:type="character" w:customStyle="1" w:styleId="Added">
    <w:name w:val="Added"/>
    <w:basedOn w:val="Standardnpsmoodstavce"/>
    <w:rsid w:val="00877878"/>
    <w:rPr>
      <w:b/>
      <w:u w:val="single"/>
      <w:shd w:val="clear" w:color="auto" w:fill="auto"/>
    </w:rPr>
  </w:style>
  <w:style w:type="character" w:customStyle="1" w:styleId="Deleted">
    <w:name w:val="Deleted"/>
    <w:basedOn w:val="Standardnpsmoodstavce"/>
    <w:rsid w:val="00877878"/>
    <w:rPr>
      <w:strike/>
      <w:dstrike w:val="0"/>
      <w:shd w:val="clear" w:color="auto" w:fill="auto"/>
    </w:rPr>
  </w:style>
  <w:style w:type="paragraph" w:customStyle="1" w:styleId="Address">
    <w:name w:val="Address"/>
    <w:basedOn w:val="Normln"/>
    <w:next w:val="Normln"/>
    <w:rsid w:val="00877878"/>
    <w:pPr>
      <w:keepLines/>
      <w:spacing w:line="360" w:lineRule="auto"/>
      <w:ind w:left="3402"/>
      <w:jc w:val="left"/>
    </w:pPr>
  </w:style>
  <w:style w:type="paragraph" w:customStyle="1" w:styleId="Objetexterne">
    <w:name w:val="Objet externe"/>
    <w:basedOn w:val="Normln"/>
    <w:next w:val="Normln"/>
    <w:rsid w:val="00877878"/>
    <w:rPr>
      <w:i/>
      <w:caps/>
    </w:rPr>
  </w:style>
  <w:style w:type="paragraph" w:customStyle="1" w:styleId="Supertitre">
    <w:name w:val="Supertitre"/>
    <w:basedOn w:val="Normln"/>
    <w:next w:val="Normln"/>
    <w:rsid w:val="00877878"/>
    <w:pPr>
      <w:spacing w:before="0" w:after="600"/>
      <w:jc w:val="center"/>
    </w:pPr>
    <w:rPr>
      <w:b/>
    </w:rPr>
  </w:style>
  <w:style w:type="paragraph" w:customStyle="1" w:styleId="Languesfaisantfoi">
    <w:name w:val="Langues faisant foi"/>
    <w:basedOn w:val="Normln"/>
    <w:next w:val="Normln"/>
    <w:rsid w:val="00877878"/>
    <w:pPr>
      <w:spacing w:before="360" w:after="0"/>
      <w:jc w:val="center"/>
    </w:pPr>
  </w:style>
  <w:style w:type="paragraph" w:customStyle="1" w:styleId="Rfrencecroise">
    <w:name w:val="Référence croisée"/>
    <w:basedOn w:val="Normln"/>
    <w:rsid w:val="00877878"/>
    <w:pPr>
      <w:spacing w:before="0" w:after="0"/>
      <w:jc w:val="center"/>
    </w:pPr>
  </w:style>
  <w:style w:type="paragraph" w:customStyle="1" w:styleId="Fichefinanciretitre">
    <w:name w:val="Fiche financière titre"/>
    <w:basedOn w:val="Normln"/>
    <w:next w:val="Normln"/>
    <w:rsid w:val="00877878"/>
    <w:pPr>
      <w:jc w:val="center"/>
    </w:pPr>
    <w:rPr>
      <w:b/>
      <w:u w:val="single"/>
    </w:rPr>
  </w:style>
  <w:style w:type="paragraph" w:customStyle="1" w:styleId="DatedadoptionPagedecouverture">
    <w:name w:val="Date d'adoption (Page de couverture)"/>
    <w:basedOn w:val="Datedadoption"/>
    <w:next w:val="TitreobjetPagedecouverture"/>
    <w:rsid w:val="00877878"/>
  </w:style>
  <w:style w:type="paragraph" w:customStyle="1" w:styleId="RfrenceinterinstitutionnellePagedecouverture">
    <w:name w:val="Référence interinstitutionnelle (Page de couverture)"/>
    <w:basedOn w:val="Rfrenceinterinstitutionnelle"/>
    <w:next w:val="Confidentialit"/>
    <w:rsid w:val="00877878"/>
  </w:style>
  <w:style w:type="paragraph" w:customStyle="1" w:styleId="StatutPagedecouverture">
    <w:name w:val="Statut (Page de couverture)"/>
    <w:basedOn w:val="Statut"/>
    <w:next w:val="TypedudocumentPagedecouverture"/>
    <w:rsid w:val="00877878"/>
  </w:style>
  <w:style w:type="paragraph" w:customStyle="1" w:styleId="TitreobjetPagedecouverture">
    <w:name w:val="Titre objet (Page de couverture)"/>
    <w:basedOn w:val="Titreobjet"/>
    <w:next w:val="IntrtEEEPagedecouverture"/>
    <w:rsid w:val="00877878"/>
  </w:style>
  <w:style w:type="paragraph" w:customStyle="1" w:styleId="TypedudocumentPagedecouverture">
    <w:name w:val="Type du document (Page de couverture)"/>
    <w:basedOn w:val="Typedudocument"/>
    <w:next w:val="TitreobjetPagedecouverture"/>
    <w:rsid w:val="00877878"/>
  </w:style>
  <w:style w:type="paragraph" w:customStyle="1" w:styleId="Volume">
    <w:name w:val="Volume"/>
    <w:basedOn w:val="Normln"/>
    <w:next w:val="Confidentialit"/>
    <w:rsid w:val="00877878"/>
    <w:pPr>
      <w:spacing w:before="0" w:after="240"/>
      <w:ind w:left="5103"/>
      <w:jc w:val="left"/>
    </w:pPr>
  </w:style>
  <w:style w:type="paragraph" w:customStyle="1" w:styleId="IntrtEEE">
    <w:name w:val="Intérêt EEE"/>
    <w:basedOn w:val="Languesfaisantfoi"/>
    <w:next w:val="Normln"/>
    <w:rsid w:val="00877878"/>
    <w:pPr>
      <w:spacing w:after="240"/>
    </w:pPr>
  </w:style>
  <w:style w:type="paragraph" w:customStyle="1" w:styleId="Accompagnant">
    <w:name w:val="Accompagnant"/>
    <w:basedOn w:val="Normln"/>
    <w:next w:val="Typeacteprincipal"/>
    <w:rsid w:val="00877878"/>
    <w:pPr>
      <w:spacing w:before="0" w:after="240"/>
      <w:jc w:val="center"/>
    </w:pPr>
    <w:rPr>
      <w:b/>
      <w:i/>
    </w:rPr>
  </w:style>
  <w:style w:type="paragraph" w:customStyle="1" w:styleId="Typeacteprincipal">
    <w:name w:val="Type acte principal"/>
    <w:basedOn w:val="Normln"/>
    <w:next w:val="Objetacteprincipal"/>
    <w:rsid w:val="00877878"/>
    <w:pPr>
      <w:spacing w:before="0" w:after="240"/>
      <w:jc w:val="center"/>
    </w:pPr>
    <w:rPr>
      <w:b/>
    </w:rPr>
  </w:style>
  <w:style w:type="paragraph" w:customStyle="1" w:styleId="Objetacteprincipal">
    <w:name w:val="Objet acte principal"/>
    <w:basedOn w:val="Normln"/>
    <w:next w:val="Titrearticle"/>
    <w:rsid w:val="00877878"/>
    <w:pPr>
      <w:spacing w:before="0" w:after="360"/>
      <w:jc w:val="center"/>
    </w:pPr>
    <w:rPr>
      <w:b/>
    </w:rPr>
  </w:style>
  <w:style w:type="paragraph" w:customStyle="1" w:styleId="IntrtEEEPagedecouverture">
    <w:name w:val="Intérêt EEE (Page de couverture)"/>
    <w:basedOn w:val="IntrtEEE"/>
    <w:next w:val="Rfrencecroise"/>
    <w:rsid w:val="00877878"/>
  </w:style>
  <w:style w:type="paragraph" w:customStyle="1" w:styleId="AccompagnantPagedecouverture">
    <w:name w:val="Accompagnant (Page de couverture)"/>
    <w:basedOn w:val="Accompagnant"/>
    <w:next w:val="TypeacteprincipalPagedecouverture"/>
    <w:rsid w:val="00877878"/>
  </w:style>
  <w:style w:type="paragraph" w:customStyle="1" w:styleId="TypeacteprincipalPagedecouverture">
    <w:name w:val="Type acte principal (Page de couverture)"/>
    <w:basedOn w:val="Typeacteprincipal"/>
    <w:next w:val="ObjetacteprincipalPagedecouverture"/>
    <w:rsid w:val="00877878"/>
  </w:style>
  <w:style w:type="paragraph" w:customStyle="1" w:styleId="ObjetacteprincipalPagedecouverture">
    <w:name w:val="Objet acte principal (Page de couverture)"/>
    <w:basedOn w:val="Objetacteprincipal"/>
    <w:next w:val="Rfrencecroise"/>
    <w:rsid w:val="00877878"/>
  </w:style>
  <w:style w:type="paragraph" w:customStyle="1" w:styleId="LanguesfaisantfoiPagedecouverture">
    <w:name w:val="Langues faisant foi (Page de couverture)"/>
    <w:basedOn w:val="Normln"/>
    <w:next w:val="Normln"/>
    <w:rsid w:val="00877878"/>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4843">
      <w:bodyDiv w:val="1"/>
      <w:marLeft w:val="0"/>
      <w:marRight w:val="0"/>
      <w:marTop w:val="0"/>
      <w:marBottom w:val="0"/>
      <w:divBdr>
        <w:top w:val="none" w:sz="0" w:space="0" w:color="auto"/>
        <w:left w:val="none" w:sz="0" w:space="0" w:color="auto"/>
        <w:bottom w:val="none" w:sz="0" w:space="0" w:color="auto"/>
        <w:right w:val="none" w:sz="0" w:space="0" w:color="auto"/>
      </w:divBdr>
    </w:div>
    <w:div w:id="55978795">
      <w:bodyDiv w:val="1"/>
      <w:marLeft w:val="390"/>
      <w:marRight w:val="390"/>
      <w:marTop w:val="0"/>
      <w:marBottom w:val="0"/>
      <w:divBdr>
        <w:top w:val="none" w:sz="0" w:space="0" w:color="auto"/>
        <w:left w:val="none" w:sz="0" w:space="0" w:color="auto"/>
        <w:bottom w:val="none" w:sz="0" w:space="0" w:color="auto"/>
        <w:right w:val="none" w:sz="0" w:space="0" w:color="auto"/>
      </w:divBdr>
    </w:div>
    <w:div w:id="57482360">
      <w:bodyDiv w:val="1"/>
      <w:marLeft w:val="0"/>
      <w:marRight w:val="0"/>
      <w:marTop w:val="0"/>
      <w:marBottom w:val="0"/>
      <w:divBdr>
        <w:top w:val="none" w:sz="0" w:space="0" w:color="auto"/>
        <w:left w:val="none" w:sz="0" w:space="0" w:color="auto"/>
        <w:bottom w:val="none" w:sz="0" w:space="0" w:color="auto"/>
        <w:right w:val="none" w:sz="0" w:space="0" w:color="auto"/>
      </w:divBdr>
    </w:div>
    <w:div w:id="213784156">
      <w:bodyDiv w:val="1"/>
      <w:marLeft w:val="0"/>
      <w:marRight w:val="0"/>
      <w:marTop w:val="0"/>
      <w:marBottom w:val="0"/>
      <w:divBdr>
        <w:top w:val="none" w:sz="0" w:space="0" w:color="auto"/>
        <w:left w:val="none" w:sz="0" w:space="0" w:color="auto"/>
        <w:bottom w:val="none" w:sz="0" w:space="0" w:color="auto"/>
        <w:right w:val="none" w:sz="0" w:space="0" w:color="auto"/>
      </w:divBdr>
    </w:div>
    <w:div w:id="288904405">
      <w:bodyDiv w:val="1"/>
      <w:marLeft w:val="0"/>
      <w:marRight w:val="0"/>
      <w:marTop w:val="0"/>
      <w:marBottom w:val="0"/>
      <w:divBdr>
        <w:top w:val="none" w:sz="0" w:space="0" w:color="auto"/>
        <w:left w:val="none" w:sz="0" w:space="0" w:color="auto"/>
        <w:bottom w:val="none" w:sz="0" w:space="0" w:color="auto"/>
        <w:right w:val="none" w:sz="0" w:space="0" w:color="auto"/>
      </w:divBdr>
    </w:div>
    <w:div w:id="350956537">
      <w:bodyDiv w:val="1"/>
      <w:marLeft w:val="0"/>
      <w:marRight w:val="0"/>
      <w:marTop w:val="0"/>
      <w:marBottom w:val="0"/>
      <w:divBdr>
        <w:top w:val="none" w:sz="0" w:space="0" w:color="auto"/>
        <w:left w:val="none" w:sz="0" w:space="0" w:color="auto"/>
        <w:bottom w:val="none" w:sz="0" w:space="0" w:color="auto"/>
        <w:right w:val="none" w:sz="0" w:space="0" w:color="auto"/>
      </w:divBdr>
    </w:div>
    <w:div w:id="387074541">
      <w:bodyDiv w:val="1"/>
      <w:marLeft w:val="390"/>
      <w:marRight w:val="390"/>
      <w:marTop w:val="0"/>
      <w:marBottom w:val="0"/>
      <w:divBdr>
        <w:top w:val="none" w:sz="0" w:space="0" w:color="auto"/>
        <w:left w:val="none" w:sz="0" w:space="0" w:color="auto"/>
        <w:bottom w:val="none" w:sz="0" w:space="0" w:color="auto"/>
        <w:right w:val="none" w:sz="0" w:space="0" w:color="auto"/>
      </w:divBdr>
    </w:div>
    <w:div w:id="523829370">
      <w:bodyDiv w:val="1"/>
      <w:marLeft w:val="0"/>
      <w:marRight w:val="0"/>
      <w:marTop w:val="0"/>
      <w:marBottom w:val="0"/>
      <w:divBdr>
        <w:top w:val="none" w:sz="0" w:space="0" w:color="auto"/>
        <w:left w:val="none" w:sz="0" w:space="0" w:color="auto"/>
        <w:bottom w:val="none" w:sz="0" w:space="0" w:color="auto"/>
        <w:right w:val="none" w:sz="0" w:space="0" w:color="auto"/>
      </w:divBdr>
    </w:div>
    <w:div w:id="525993850">
      <w:bodyDiv w:val="1"/>
      <w:marLeft w:val="0"/>
      <w:marRight w:val="0"/>
      <w:marTop w:val="0"/>
      <w:marBottom w:val="0"/>
      <w:divBdr>
        <w:top w:val="none" w:sz="0" w:space="0" w:color="auto"/>
        <w:left w:val="none" w:sz="0" w:space="0" w:color="auto"/>
        <w:bottom w:val="none" w:sz="0" w:space="0" w:color="auto"/>
        <w:right w:val="none" w:sz="0" w:space="0" w:color="auto"/>
      </w:divBdr>
    </w:div>
    <w:div w:id="553128121">
      <w:bodyDiv w:val="1"/>
      <w:marLeft w:val="0"/>
      <w:marRight w:val="0"/>
      <w:marTop w:val="0"/>
      <w:marBottom w:val="0"/>
      <w:divBdr>
        <w:top w:val="none" w:sz="0" w:space="0" w:color="auto"/>
        <w:left w:val="none" w:sz="0" w:space="0" w:color="auto"/>
        <w:bottom w:val="none" w:sz="0" w:space="0" w:color="auto"/>
        <w:right w:val="none" w:sz="0" w:space="0" w:color="auto"/>
      </w:divBdr>
    </w:div>
    <w:div w:id="587421938">
      <w:bodyDiv w:val="1"/>
      <w:marLeft w:val="0"/>
      <w:marRight w:val="0"/>
      <w:marTop w:val="0"/>
      <w:marBottom w:val="0"/>
      <w:divBdr>
        <w:top w:val="none" w:sz="0" w:space="0" w:color="auto"/>
        <w:left w:val="none" w:sz="0" w:space="0" w:color="auto"/>
        <w:bottom w:val="none" w:sz="0" w:space="0" w:color="auto"/>
        <w:right w:val="none" w:sz="0" w:space="0" w:color="auto"/>
      </w:divBdr>
    </w:div>
    <w:div w:id="628438785">
      <w:bodyDiv w:val="1"/>
      <w:marLeft w:val="0"/>
      <w:marRight w:val="0"/>
      <w:marTop w:val="0"/>
      <w:marBottom w:val="0"/>
      <w:divBdr>
        <w:top w:val="none" w:sz="0" w:space="0" w:color="auto"/>
        <w:left w:val="none" w:sz="0" w:space="0" w:color="auto"/>
        <w:bottom w:val="none" w:sz="0" w:space="0" w:color="auto"/>
        <w:right w:val="none" w:sz="0" w:space="0" w:color="auto"/>
      </w:divBdr>
    </w:div>
    <w:div w:id="652879439">
      <w:bodyDiv w:val="1"/>
      <w:marLeft w:val="390"/>
      <w:marRight w:val="390"/>
      <w:marTop w:val="0"/>
      <w:marBottom w:val="0"/>
      <w:divBdr>
        <w:top w:val="none" w:sz="0" w:space="0" w:color="auto"/>
        <w:left w:val="none" w:sz="0" w:space="0" w:color="auto"/>
        <w:bottom w:val="none" w:sz="0" w:space="0" w:color="auto"/>
        <w:right w:val="none" w:sz="0" w:space="0" w:color="auto"/>
      </w:divBdr>
    </w:div>
    <w:div w:id="696004529">
      <w:bodyDiv w:val="1"/>
      <w:marLeft w:val="0"/>
      <w:marRight w:val="0"/>
      <w:marTop w:val="0"/>
      <w:marBottom w:val="0"/>
      <w:divBdr>
        <w:top w:val="none" w:sz="0" w:space="0" w:color="auto"/>
        <w:left w:val="none" w:sz="0" w:space="0" w:color="auto"/>
        <w:bottom w:val="none" w:sz="0" w:space="0" w:color="auto"/>
        <w:right w:val="none" w:sz="0" w:space="0" w:color="auto"/>
      </w:divBdr>
    </w:div>
    <w:div w:id="830293091">
      <w:bodyDiv w:val="1"/>
      <w:marLeft w:val="390"/>
      <w:marRight w:val="390"/>
      <w:marTop w:val="0"/>
      <w:marBottom w:val="0"/>
      <w:divBdr>
        <w:top w:val="none" w:sz="0" w:space="0" w:color="auto"/>
        <w:left w:val="none" w:sz="0" w:space="0" w:color="auto"/>
        <w:bottom w:val="none" w:sz="0" w:space="0" w:color="auto"/>
        <w:right w:val="none" w:sz="0" w:space="0" w:color="auto"/>
      </w:divBdr>
    </w:div>
    <w:div w:id="889728645">
      <w:bodyDiv w:val="1"/>
      <w:marLeft w:val="0"/>
      <w:marRight w:val="0"/>
      <w:marTop w:val="0"/>
      <w:marBottom w:val="0"/>
      <w:divBdr>
        <w:top w:val="none" w:sz="0" w:space="0" w:color="auto"/>
        <w:left w:val="none" w:sz="0" w:space="0" w:color="auto"/>
        <w:bottom w:val="none" w:sz="0" w:space="0" w:color="auto"/>
        <w:right w:val="none" w:sz="0" w:space="0" w:color="auto"/>
      </w:divBdr>
    </w:div>
    <w:div w:id="917638859">
      <w:bodyDiv w:val="1"/>
      <w:marLeft w:val="0"/>
      <w:marRight w:val="0"/>
      <w:marTop w:val="0"/>
      <w:marBottom w:val="0"/>
      <w:divBdr>
        <w:top w:val="none" w:sz="0" w:space="0" w:color="auto"/>
        <w:left w:val="none" w:sz="0" w:space="0" w:color="auto"/>
        <w:bottom w:val="none" w:sz="0" w:space="0" w:color="auto"/>
        <w:right w:val="none" w:sz="0" w:space="0" w:color="auto"/>
      </w:divBdr>
    </w:div>
    <w:div w:id="963148572">
      <w:bodyDiv w:val="1"/>
      <w:marLeft w:val="390"/>
      <w:marRight w:val="390"/>
      <w:marTop w:val="0"/>
      <w:marBottom w:val="0"/>
      <w:divBdr>
        <w:top w:val="none" w:sz="0" w:space="0" w:color="auto"/>
        <w:left w:val="none" w:sz="0" w:space="0" w:color="auto"/>
        <w:bottom w:val="none" w:sz="0" w:space="0" w:color="auto"/>
        <w:right w:val="none" w:sz="0" w:space="0" w:color="auto"/>
      </w:divBdr>
    </w:div>
    <w:div w:id="968164961">
      <w:bodyDiv w:val="1"/>
      <w:marLeft w:val="390"/>
      <w:marRight w:val="390"/>
      <w:marTop w:val="0"/>
      <w:marBottom w:val="0"/>
      <w:divBdr>
        <w:top w:val="none" w:sz="0" w:space="0" w:color="auto"/>
        <w:left w:val="none" w:sz="0" w:space="0" w:color="auto"/>
        <w:bottom w:val="none" w:sz="0" w:space="0" w:color="auto"/>
        <w:right w:val="none" w:sz="0" w:space="0" w:color="auto"/>
      </w:divBdr>
    </w:div>
    <w:div w:id="1159689640">
      <w:bodyDiv w:val="1"/>
      <w:marLeft w:val="0"/>
      <w:marRight w:val="0"/>
      <w:marTop w:val="0"/>
      <w:marBottom w:val="0"/>
      <w:divBdr>
        <w:top w:val="none" w:sz="0" w:space="0" w:color="auto"/>
        <w:left w:val="none" w:sz="0" w:space="0" w:color="auto"/>
        <w:bottom w:val="none" w:sz="0" w:space="0" w:color="auto"/>
        <w:right w:val="none" w:sz="0" w:space="0" w:color="auto"/>
      </w:divBdr>
    </w:div>
    <w:div w:id="1395280985">
      <w:bodyDiv w:val="1"/>
      <w:marLeft w:val="390"/>
      <w:marRight w:val="390"/>
      <w:marTop w:val="0"/>
      <w:marBottom w:val="0"/>
      <w:divBdr>
        <w:top w:val="none" w:sz="0" w:space="0" w:color="auto"/>
        <w:left w:val="none" w:sz="0" w:space="0" w:color="auto"/>
        <w:bottom w:val="none" w:sz="0" w:space="0" w:color="auto"/>
        <w:right w:val="none" w:sz="0" w:space="0" w:color="auto"/>
      </w:divBdr>
    </w:div>
    <w:div w:id="1404138560">
      <w:bodyDiv w:val="1"/>
      <w:marLeft w:val="0"/>
      <w:marRight w:val="0"/>
      <w:marTop w:val="0"/>
      <w:marBottom w:val="0"/>
      <w:divBdr>
        <w:top w:val="none" w:sz="0" w:space="0" w:color="auto"/>
        <w:left w:val="none" w:sz="0" w:space="0" w:color="auto"/>
        <w:bottom w:val="none" w:sz="0" w:space="0" w:color="auto"/>
        <w:right w:val="none" w:sz="0" w:space="0" w:color="auto"/>
      </w:divBdr>
    </w:div>
    <w:div w:id="1419450351">
      <w:bodyDiv w:val="1"/>
      <w:marLeft w:val="0"/>
      <w:marRight w:val="0"/>
      <w:marTop w:val="0"/>
      <w:marBottom w:val="0"/>
      <w:divBdr>
        <w:top w:val="none" w:sz="0" w:space="0" w:color="auto"/>
        <w:left w:val="none" w:sz="0" w:space="0" w:color="auto"/>
        <w:bottom w:val="none" w:sz="0" w:space="0" w:color="auto"/>
        <w:right w:val="none" w:sz="0" w:space="0" w:color="auto"/>
      </w:divBdr>
    </w:div>
    <w:div w:id="1463353350">
      <w:bodyDiv w:val="1"/>
      <w:marLeft w:val="0"/>
      <w:marRight w:val="0"/>
      <w:marTop w:val="0"/>
      <w:marBottom w:val="0"/>
      <w:divBdr>
        <w:top w:val="none" w:sz="0" w:space="0" w:color="auto"/>
        <w:left w:val="none" w:sz="0" w:space="0" w:color="auto"/>
        <w:bottom w:val="none" w:sz="0" w:space="0" w:color="auto"/>
        <w:right w:val="none" w:sz="0" w:space="0" w:color="auto"/>
      </w:divBdr>
    </w:div>
    <w:div w:id="1481338200">
      <w:bodyDiv w:val="1"/>
      <w:marLeft w:val="0"/>
      <w:marRight w:val="0"/>
      <w:marTop w:val="0"/>
      <w:marBottom w:val="0"/>
      <w:divBdr>
        <w:top w:val="none" w:sz="0" w:space="0" w:color="auto"/>
        <w:left w:val="none" w:sz="0" w:space="0" w:color="auto"/>
        <w:bottom w:val="none" w:sz="0" w:space="0" w:color="auto"/>
        <w:right w:val="none" w:sz="0" w:space="0" w:color="auto"/>
      </w:divBdr>
    </w:div>
    <w:div w:id="1558318212">
      <w:bodyDiv w:val="1"/>
      <w:marLeft w:val="0"/>
      <w:marRight w:val="0"/>
      <w:marTop w:val="0"/>
      <w:marBottom w:val="0"/>
      <w:divBdr>
        <w:top w:val="none" w:sz="0" w:space="0" w:color="auto"/>
        <w:left w:val="none" w:sz="0" w:space="0" w:color="auto"/>
        <w:bottom w:val="none" w:sz="0" w:space="0" w:color="auto"/>
        <w:right w:val="none" w:sz="0" w:space="0" w:color="auto"/>
      </w:divBdr>
      <w:divsChild>
        <w:div w:id="975766741">
          <w:marLeft w:val="0"/>
          <w:marRight w:val="0"/>
          <w:marTop w:val="0"/>
          <w:marBottom w:val="0"/>
          <w:divBdr>
            <w:top w:val="none" w:sz="0" w:space="0" w:color="auto"/>
            <w:left w:val="none" w:sz="0" w:space="0" w:color="auto"/>
            <w:bottom w:val="none" w:sz="0" w:space="0" w:color="auto"/>
            <w:right w:val="none" w:sz="0" w:space="0" w:color="auto"/>
          </w:divBdr>
          <w:divsChild>
            <w:div w:id="1967268948">
              <w:marLeft w:val="0"/>
              <w:marRight w:val="0"/>
              <w:marTop w:val="0"/>
              <w:marBottom w:val="300"/>
              <w:divBdr>
                <w:top w:val="none" w:sz="0" w:space="0" w:color="auto"/>
                <w:left w:val="none" w:sz="0" w:space="0" w:color="auto"/>
                <w:bottom w:val="none" w:sz="0" w:space="0" w:color="auto"/>
                <w:right w:val="none" w:sz="0" w:space="0" w:color="auto"/>
              </w:divBdr>
              <w:divsChild>
                <w:div w:id="7603859">
                  <w:marLeft w:val="0"/>
                  <w:marRight w:val="0"/>
                  <w:marTop w:val="100"/>
                  <w:marBottom w:val="100"/>
                  <w:divBdr>
                    <w:top w:val="none" w:sz="0" w:space="0" w:color="auto"/>
                    <w:left w:val="none" w:sz="0" w:space="0" w:color="auto"/>
                    <w:bottom w:val="none" w:sz="0" w:space="0" w:color="auto"/>
                    <w:right w:val="none" w:sz="0" w:space="0" w:color="auto"/>
                  </w:divBdr>
                </w:div>
                <w:div w:id="268898560">
                  <w:marLeft w:val="0"/>
                  <w:marRight w:val="0"/>
                  <w:marTop w:val="0"/>
                  <w:marBottom w:val="0"/>
                  <w:divBdr>
                    <w:top w:val="none" w:sz="0" w:space="0" w:color="auto"/>
                    <w:left w:val="none" w:sz="0" w:space="0" w:color="auto"/>
                    <w:bottom w:val="none" w:sz="0" w:space="0" w:color="auto"/>
                    <w:right w:val="none" w:sz="0" w:space="0" w:color="auto"/>
                  </w:divBdr>
                </w:div>
                <w:div w:id="911887274">
                  <w:marLeft w:val="0"/>
                  <w:marRight w:val="0"/>
                  <w:marTop w:val="0"/>
                  <w:marBottom w:val="0"/>
                  <w:divBdr>
                    <w:top w:val="none" w:sz="0" w:space="0" w:color="auto"/>
                    <w:left w:val="none" w:sz="0" w:space="0" w:color="auto"/>
                    <w:bottom w:val="none" w:sz="0" w:space="0" w:color="auto"/>
                    <w:right w:val="none" w:sz="0" w:space="0" w:color="auto"/>
                  </w:divBdr>
                </w:div>
                <w:div w:id="1742210232">
                  <w:marLeft w:val="0"/>
                  <w:marRight w:val="0"/>
                  <w:marTop w:val="150"/>
                  <w:marBottom w:val="240"/>
                  <w:divBdr>
                    <w:top w:val="none" w:sz="0" w:space="0" w:color="auto"/>
                    <w:left w:val="none" w:sz="0" w:space="0" w:color="auto"/>
                    <w:bottom w:val="none" w:sz="0" w:space="0" w:color="auto"/>
                    <w:right w:val="none" w:sz="0" w:space="0" w:color="auto"/>
                  </w:divBdr>
                </w:div>
              </w:divsChild>
            </w:div>
          </w:divsChild>
        </w:div>
      </w:divsChild>
    </w:div>
    <w:div w:id="1761219896">
      <w:bodyDiv w:val="1"/>
      <w:marLeft w:val="0"/>
      <w:marRight w:val="0"/>
      <w:marTop w:val="0"/>
      <w:marBottom w:val="0"/>
      <w:divBdr>
        <w:top w:val="none" w:sz="0" w:space="0" w:color="auto"/>
        <w:left w:val="none" w:sz="0" w:space="0" w:color="auto"/>
        <w:bottom w:val="none" w:sz="0" w:space="0" w:color="auto"/>
        <w:right w:val="none" w:sz="0" w:space="0" w:color="auto"/>
      </w:divBdr>
    </w:div>
    <w:div w:id="1762024620">
      <w:bodyDiv w:val="1"/>
      <w:marLeft w:val="0"/>
      <w:marRight w:val="0"/>
      <w:marTop w:val="0"/>
      <w:marBottom w:val="0"/>
      <w:divBdr>
        <w:top w:val="none" w:sz="0" w:space="0" w:color="auto"/>
        <w:left w:val="none" w:sz="0" w:space="0" w:color="auto"/>
        <w:bottom w:val="none" w:sz="0" w:space="0" w:color="auto"/>
        <w:right w:val="none" w:sz="0" w:space="0" w:color="auto"/>
      </w:divBdr>
      <w:divsChild>
        <w:div w:id="2020698949">
          <w:marLeft w:val="0"/>
          <w:marRight w:val="0"/>
          <w:marTop w:val="0"/>
          <w:marBottom w:val="0"/>
          <w:divBdr>
            <w:top w:val="none" w:sz="0" w:space="0" w:color="auto"/>
            <w:left w:val="none" w:sz="0" w:space="0" w:color="auto"/>
            <w:bottom w:val="none" w:sz="0" w:space="0" w:color="auto"/>
            <w:right w:val="none" w:sz="0" w:space="0" w:color="auto"/>
          </w:divBdr>
          <w:divsChild>
            <w:div w:id="290139956">
              <w:marLeft w:val="0"/>
              <w:marRight w:val="0"/>
              <w:marTop w:val="0"/>
              <w:marBottom w:val="0"/>
              <w:divBdr>
                <w:top w:val="none" w:sz="0" w:space="0" w:color="auto"/>
                <w:left w:val="none" w:sz="0" w:space="0" w:color="auto"/>
                <w:bottom w:val="none" w:sz="0" w:space="0" w:color="auto"/>
                <w:right w:val="none" w:sz="0" w:space="0" w:color="auto"/>
              </w:divBdr>
              <w:divsChild>
                <w:div w:id="118187075">
                  <w:marLeft w:val="0"/>
                  <w:marRight w:val="0"/>
                  <w:marTop w:val="0"/>
                  <w:marBottom w:val="0"/>
                  <w:divBdr>
                    <w:top w:val="none" w:sz="0" w:space="0" w:color="auto"/>
                    <w:left w:val="none" w:sz="0" w:space="0" w:color="auto"/>
                    <w:bottom w:val="none" w:sz="0" w:space="0" w:color="auto"/>
                    <w:right w:val="none" w:sz="0" w:space="0" w:color="auto"/>
                  </w:divBdr>
                  <w:divsChild>
                    <w:div w:id="286475486">
                      <w:marLeft w:val="1"/>
                      <w:marRight w:val="1"/>
                      <w:marTop w:val="0"/>
                      <w:marBottom w:val="0"/>
                      <w:divBdr>
                        <w:top w:val="none" w:sz="0" w:space="0" w:color="auto"/>
                        <w:left w:val="none" w:sz="0" w:space="0" w:color="auto"/>
                        <w:bottom w:val="none" w:sz="0" w:space="0" w:color="auto"/>
                        <w:right w:val="none" w:sz="0" w:space="0" w:color="auto"/>
                      </w:divBdr>
                      <w:divsChild>
                        <w:div w:id="1004893376">
                          <w:marLeft w:val="0"/>
                          <w:marRight w:val="0"/>
                          <w:marTop w:val="0"/>
                          <w:marBottom w:val="0"/>
                          <w:divBdr>
                            <w:top w:val="none" w:sz="0" w:space="0" w:color="auto"/>
                            <w:left w:val="none" w:sz="0" w:space="0" w:color="auto"/>
                            <w:bottom w:val="none" w:sz="0" w:space="0" w:color="auto"/>
                            <w:right w:val="none" w:sz="0" w:space="0" w:color="auto"/>
                          </w:divBdr>
                          <w:divsChild>
                            <w:div w:id="2037581886">
                              <w:marLeft w:val="0"/>
                              <w:marRight w:val="0"/>
                              <w:marTop w:val="0"/>
                              <w:marBottom w:val="360"/>
                              <w:divBdr>
                                <w:top w:val="none" w:sz="0" w:space="0" w:color="auto"/>
                                <w:left w:val="none" w:sz="0" w:space="0" w:color="auto"/>
                                <w:bottom w:val="none" w:sz="0" w:space="0" w:color="auto"/>
                                <w:right w:val="none" w:sz="0" w:space="0" w:color="auto"/>
                              </w:divBdr>
                              <w:divsChild>
                                <w:div w:id="1935701160">
                                  <w:marLeft w:val="0"/>
                                  <w:marRight w:val="0"/>
                                  <w:marTop w:val="0"/>
                                  <w:marBottom w:val="0"/>
                                  <w:divBdr>
                                    <w:top w:val="none" w:sz="0" w:space="0" w:color="auto"/>
                                    <w:left w:val="none" w:sz="0" w:space="0" w:color="auto"/>
                                    <w:bottom w:val="none" w:sz="0" w:space="0" w:color="auto"/>
                                    <w:right w:val="none" w:sz="0" w:space="0" w:color="auto"/>
                                  </w:divBdr>
                                  <w:divsChild>
                                    <w:div w:id="1457067960">
                                      <w:marLeft w:val="0"/>
                                      <w:marRight w:val="0"/>
                                      <w:marTop w:val="0"/>
                                      <w:marBottom w:val="0"/>
                                      <w:divBdr>
                                        <w:top w:val="none" w:sz="0" w:space="0" w:color="auto"/>
                                        <w:left w:val="none" w:sz="0" w:space="0" w:color="auto"/>
                                        <w:bottom w:val="none" w:sz="0" w:space="0" w:color="auto"/>
                                        <w:right w:val="none" w:sz="0" w:space="0" w:color="auto"/>
                                      </w:divBdr>
                                      <w:divsChild>
                                        <w:div w:id="678851977">
                                          <w:marLeft w:val="0"/>
                                          <w:marRight w:val="0"/>
                                          <w:marTop w:val="0"/>
                                          <w:marBottom w:val="0"/>
                                          <w:divBdr>
                                            <w:top w:val="none" w:sz="0" w:space="0" w:color="auto"/>
                                            <w:left w:val="none" w:sz="0" w:space="0" w:color="auto"/>
                                            <w:bottom w:val="none" w:sz="0" w:space="0" w:color="auto"/>
                                            <w:right w:val="none" w:sz="0" w:space="0" w:color="auto"/>
                                          </w:divBdr>
                                        </w:div>
                                        <w:div w:id="110684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0390211">
      <w:bodyDiv w:val="1"/>
      <w:marLeft w:val="0"/>
      <w:marRight w:val="0"/>
      <w:marTop w:val="0"/>
      <w:marBottom w:val="0"/>
      <w:divBdr>
        <w:top w:val="none" w:sz="0" w:space="0" w:color="auto"/>
        <w:left w:val="none" w:sz="0" w:space="0" w:color="auto"/>
        <w:bottom w:val="none" w:sz="0" w:space="0" w:color="auto"/>
        <w:right w:val="none" w:sz="0" w:space="0" w:color="auto"/>
      </w:divBdr>
    </w:div>
    <w:div w:id="1806775611">
      <w:bodyDiv w:val="1"/>
      <w:marLeft w:val="0"/>
      <w:marRight w:val="0"/>
      <w:marTop w:val="0"/>
      <w:marBottom w:val="0"/>
      <w:divBdr>
        <w:top w:val="none" w:sz="0" w:space="0" w:color="auto"/>
        <w:left w:val="none" w:sz="0" w:space="0" w:color="auto"/>
        <w:bottom w:val="none" w:sz="0" w:space="0" w:color="auto"/>
        <w:right w:val="none" w:sz="0" w:space="0" w:color="auto"/>
      </w:divBdr>
    </w:div>
    <w:div w:id="1968273060">
      <w:bodyDiv w:val="1"/>
      <w:marLeft w:val="0"/>
      <w:marRight w:val="0"/>
      <w:marTop w:val="0"/>
      <w:marBottom w:val="0"/>
      <w:divBdr>
        <w:top w:val="none" w:sz="0" w:space="0" w:color="auto"/>
        <w:left w:val="none" w:sz="0" w:space="0" w:color="auto"/>
        <w:bottom w:val="none" w:sz="0" w:space="0" w:color="auto"/>
        <w:right w:val="none" w:sz="0" w:space="0" w:color="auto"/>
      </w:divBdr>
    </w:div>
    <w:div w:id="2032295696">
      <w:bodyDiv w:val="1"/>
      <w:marLeft w:val="0"/>
      <w:marRight w:val="0"/>
      <w:marTop w:val="0"/>
      <w:marBottom w:val="0"/>
      <w:divBdr>
        <w:top w:val="none" w:sz="0" w:space="0" w:color="auto"/>
        <w:left w:val="none" w:sz="0" w:space="0" w:color="auto"/>
        <w:bottom w:val="none" w:sz="0" w:space="0" w:color="auto"/>
        <w:right w:val="none" w:sz="0" w:space="0" w:color="auto"/>
      </w:divBdr>
    </w:div>
    <w:div w:id="2041317111">
      <w:bodyDiv w:val="1"/>
      <w:marLeft w:val="0"/>
      <w:marRight w:val="0"/>
      <w:marTop w:val="0"/>
      <w:marBottom w:val="0"/>
      <w:divBdr>
        <w:top w:val="none" w:sz="0" w:space="0" w:color="auto"/>
        <w:left w:val="none" w:sz="0" w:space="0" w:color="auto"/>
        <w:bottom w:val="none" w:sz="0" w:space="0" w:color="auto"/>
        <w:right w:val="none" w:sz="0" w:space="0" w:color="auto"/>
      </w:divBdr>
    </w:div>
    <w:div w:id="204867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eader" Target="header11.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header" Target="header10.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eader" Target="header8.xm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footer" Target="footer9.xml"/><Relationship Id="rId44"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yperlink" Target="https://myintracomm.ec.europa.eu/budgweb/EN/bud/mff/Pages/mff-post-2020.aspx" TargetMode="External"/><Relationship Id="rId30" Type="http://schemas.openxmlformats.org/officeDocument/2006/relationships/header" Target="header9.xml"/><Relationship Id="rId35" Type="http://schemas.openxmlformats.org/officeDocument/2006/relationships/footer" Target="footer11.xml"/><Relationship Id="rId43"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CS/TXT/?uri=COM:2016:0594:FIN" TargetMode="External"/><Relationship Id="rId13" Type="http://schemas.openxmlformats.org/officeDocument/2006/relationships/hyperlink" Target="https://myintracomm.ec.europa.eu/budgweb/EN/man/budgmanag/Pages/budgmanag.aspx" TargetMode="External"/><Relationship Id="rId3" Type="http://schemas.openxmlformats.org/officeDocument/2006/relationships/hyperlink" Target="http://eur-lex.europa.eu/legal-content/CS/TXT/?uri=COM:2017:673:FIN" TargetMode="External"/><Relationship Id="rId7" Type="http://schemas.openxmlformats.org/officeDocument/2006/relationships/hyperlink" Target="http://eur-lex.europa.eu/legal-content/CS/TXT/?uri=COM:2017:479:FIN" TargetMode="External"/><Relationship Id="rId12" Type="http://schemas.openxmlformats.org/officeDocument/2006/relationships/hyperlink" Target="https://eur-lex.europa.eu/legal-content/cs/ALL/?uri=CELEX:52017DC0479" TargetMode="External"/><Relationship Id="rId2" Type="http://schemas.openxmlformats.org/officeDocument/2006/relationships/hyperlink" Target="https://europa.eu/cultural-heritage/european-year-cultural-heritage_cs" TargetMode="External"/><Relationship Id="rId1" Type="http://schemas.openxmlformats.org/officeDocument/2006/relationships/hyperlink" Target="http://www.consilium.europa.eu/cs/press/press-releases/2017/03/25/rome-declaration/" TargetMode="External"/><Relationship Id="rId6" Type="http://schemas.openxmlformats.org/officeDocument/2006/relationships/hyperlink" Target="https://eur-lex.europa.eu/legal-content/CS/TXT/?qid=1526930757252&amp;uri=CELEX:52018DC0236" TargetMode="External"/><Relationship Id="rId11" Type="http://schemas.openxmlformats.org/officeDocument/2006/relationships/hyperlink" Target="https://eur-lex.europa.eu/legal-content/CS/TXT/?uri=CELEX:52014DC0477" TargetMode="External"/><Relationship Id="rId5" Type="http://schemas.openxmlformats.org/officeDocument/2006/relationships/hyperlink" Target="https://eur-lex.europa.eu/legal-content/CS/TXT/?uri=CELEX:52014DC0477" TargetMode="External"/><Relationship Id="rId10" Type="http://schemas.openxmlformats.org/officeDocument/2006/relationships/hyperlink" Target="http://eur-lex.europa.eu/legal-content/CS/TXT/?uri=JOIN:2016:29:FIN" TargetMode="External"/><Relationship Id="rId4" Type="http://schemas.openxmlformats.org/officeDocument/2006/relationships/hyperlink" Target="http://eur-lex.europa.eu/legal-content/CS/TXT/?uri=JOIN:2016:29:FIN" TargetMode="External"/><Relationship Id="rId9" Type="http://schemas.openxmlformats.org/officeDocument/2006/relationships/hyperlink" Target="https://eur-lex.europa.eu/legal-content/CS/TXT/?uri=COM:2016:0287:FI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9A6091F8B0C04AB0C61E67AE2895D1" ma:contentTypeVersion="1" ma:contentTypeDescription="Create a new document." ma:contentTypeScope="" ma:versionID="e1ebd5d2f25bb99c04e47ac780c5fb99">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91499-BE44-4231-899A-DEC9D1BA9F52}">
  <ds:schemaRefs>
    <ds:schemaRef ds:uri="http://www.w3.org/XML/1998/namespace"/>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0DAF9A5-E432-4FB3-80E1-0B77F0250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F907E8-CCE6-46C0-B2DA-DB437DCC689C}">
  <ds:schemaRefs>
    <ds:schemaRef ds:uri="http://schemas.microsoft.com/sharepoint/v3/contenttype/forms"/>
  </ds:schemaRefs>
</ds:datastoreItem>
</file>

<file path=customXml/itemProps4.xml><?xml version="1.0" encoding="utf-8"?>
<ds:datastoreItem xmlns:ds="http://schemas.openxmlformats.org/officeDocument/2006/customXml" ds:itemID="{7D25015C-486C-47D9-A584-32A498F83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0</TotalTime>
  <Pages>43</Pages>
  <Words>14901</Words>
  <Characters>87918</Characters>
  <Application>Microsoft Office Word</Application>
  <DocSecurity>0</DocSecurity>
  <Lines>732</Lines>
  <Paragraphs>205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102614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SALYKOVA Magda (BUDG)</dc:creator>
  <cp:lastModifiedBy>Havel Yvona</cp:lastModifiedBy>
  <cp:revision>2</cp:revision>
  <cp:lastPrinted>2018-05-29T10:26:00Z</cp:lastPrinted>
  <dcterms:created xsi:type="dcterms:W3CDTF">2018-09-18T02:20:00Z</dcterms:created>
  <dcterms:modified xsi:type="dcterms:W3CDTF">2018-09-18T02:20:00Z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SJ-023</vt:lpwstr>
  </property>
  <property fmtid="{D5CDD505-2E9C-101B-9397-08002B2CF9AE}" pid="9" name="ContentTypeId">
    <vt:lpwstr>0x0101001A9A6091F8B0C04AB0C61E67AE2895D1</vt:lpwstr>
  </property>
  <property fmtid="{D5CDD505-2E9C-101B-9397-08002B2CF9AE}" pid="10" name="Level of sensitivity">
    <vt:lpwstr>Standard treatment</vt:lpwstr>
  </property>
  <property fmtid="{D5CDD505-2E9C-101B-9397-08002B2CF9AE}" pid="11" name="DQCStatus">
    <vt:lpwstr>Yellow (DQC version 03)</vt:lpwstr>
  </property>
</Properties>
</file>