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2E" w:rsidRPr="0006153A" w:rsidRDefault="00F41192" w:rsidP="0006153A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color w:val="333333"/>
          <w:szCs w:val="24"/>
        </w:rPr>
        <w:t>Dohody o budoucích vztazích s UK</w:t>
      </w:r>
    </w:p>
    <w:p w:rsidR="00563C06" w:rsidRPr="007829F2" w:rsidRDefault="00563C06" w:rsidP="00563C06">
      <w:pPr>
        <w:pStyle w:val="Normlnweb"/>
        <w:spacing w:line="276" w:lineRule="auto"/>
        <w:jc w:val="both"/>
      </w:pPr>
      <w:r w:rsidRPr="007829F2">
        <w:t>Evropská komise po intenzivních jednáních dosáhla dohody se Spojeným královstvím o podmínkách jeho budoucí spolupráce s Evropskou unií. Dnem 1. 1. 2021 tedy pozbylo Spojené království všech svých práv a povinností, které mělo jako členský stát EU a během přechodného období definovaného Výstupovou dohodou. UK nebude již nadále mít prospěch z hladkého přístupu na jednotný trh a do celní unie, ani z unijních politik a mezinárodních dohod (vč. dohod o volném obchodu s třetími státy) </w:t>
      </w:r>
    </w:p>
    <w:p w:rsidR="00563C06" w:rsidRDefault="00563C06" w:rsidP="00563C06">
      <w:pPr>
        <w:pStyle w:val="Normlnweb"/>
        <w:spacing w:line="276" w:lineRule="auto"/>
        <w:jc w:val="both"/>
      </w:pPr>
      <w:r>
        <w:t xml:space="preserve">Byly sjednány tři dohody - </w:t>
      </w:r>
      <w:r w:rsidRPr="007829F2">
        <w:t xml:space="preserve">Dohoda o obchodu a spolupráci </w:t>
      </w:r>
      <w:r>
        <w:t>(TCA), dohoda týkající se bezpečnostních postupů při výměně a ochraně klasifikovaných informací a dohoda o spolupráci při bezpečném a mírovém využívání jaderné anergie.</w:t>
      </w:r>
    </w:p>
    <w:p w:rsidR="00563C06" w:rsidRPr="007829F2" w:rsidRDefault="00563C06" w:rsidP="00563C06">
      <w:pPr>
        <w:pStyle w:val="Normlnweb"/>
        <w:spacing w:line="276" w:lineRule="auto"/>
        <w:jc w:val="both"/>
      </w:pPr>
      <w:r w:rsidRPr="007829F2">
        <w:t xml:space="preserve">Dohoda o obchodu a spolupráci mezi EU a Spojeným královstvím (UK) </w:t>
      </w:r>
      <w:r w:rsidRPr="00F41192">
        <w:t>zahrnuje</w:t>
      </w:r>
      <w:r w:rsidRPr="00F41192">
        <w:rPr>
          <w:b/>
        </w:rPr>
        <w:t xml:space="preserve"> </w:t>
      </w:r>
      <w:r w:rsidRPr="00F41192">
        <w:rPr>
          <w:rStyle w:val="Siln"/>
          <w:b w:val="0"/>
        </w:rPr>
        <w:t>následující oblasti</w:t>
      </w:r>
      <w:r w:rsidRPr="007829F2">
        <w:rPr>
          <w:rStyle w:val="Siln"/>
        </w:rPr>
        <w:t>:</w:t>
      </w:r>
      <w:r w:rsidRPr="007829F2">
        <w:t xml:space="preserve"> obchod zbožím a službami, digitální obchod, duševní vlastnictví, veřejné zakázky, leteckou a silniční dopravu, energetiku, rybolov, koordinaci systémů sociálního zabezpečení, vymáhání práva a justiční spolupráci v trestních věcech, tematickou spolupráci a účast na unijních programech.</w:t>
      </w:r>
    </w:p>
    <w:p w:rsidR="00563C06" w:rsidRPr="007829F2" w:rsidRDefault="00563C06" w:rsidP="00563C06">
      <w:pPr>
        <w:pStyle w:val="Normlnweb"/>
        <w:spacing w:line="276" w:lineRule="auto"/>
        <w:jc w:val="both"/>
      </w:pPr>
      <w:r w:rsidRPr="007829F2">
        <w:t>Dohoda bude podléhat institucionálnímu rámci pro provádění a vymáhání Dohody stejně jako závaznému mechanismu pro řešení a vymáhání sporů.</w:t>
      </w:r>
    </w:p>
    <w:p w:rsidR="00563C06" w:rsidRPr="007829F2" w:rsidRDefault="00563C06" w:rsidP="00563C06">
      <w:pPr>
        <w:numPr>
          <w:ilvl w:val="0"/>
          <w:numId w:val="5"/>
        </w:numPr>
        <w:spacing w:before="100" w:beforeAutospacing="1" w:after="30"/>
        <w:ind w:left="0"/>
        <w:jc w:val="both"/>
        <w:rPr>
          <w:rFonts w:cs="Times New Roman"/>
          <w:vanish/>
          <w:szCs w:val="24"/>
        </w:rPr>
      </w:pPr>
      <w:r w:rsidRPr="007829F2">
        <w:rPr>
          <w:rFonts w:cs="Times New Roman"/>
          <w:vanish/>
          <w:szCs w:val="24"/>
        </w:rPr>
        <w:t xml:space="preserve">Aby byla podnikům, spotřebitelům a občanům poskytnuta co největší právní jistota, je v kapitole věnované správě jasně uvedeno, jak bude dohoda prováděna a kontrolována. Rovněž zřizuje společnou </w:t>
      </w:r>
      <w:r w:rsidRPr="007829F2">
        <w:rPr>
          <w:rStyle w:val="Siln"/>
          <w:rFonts w:cs="Times New Roman"/>
          <w:vanish/>
          <w:szCs w:val="24"/>
        </w:rPr>
        <w:t>Radu partnerství</w:t>
      </w:r>
      <w:r w:rsidRPr="007829F2">
        <w:rPr>
          <w:rFonts w:cs="Times New Roman"/>
          <w:vanish/>
          <w:szCs w:val="24"/>
        </w:rPr>
        <w:t>, která zajistí řádné uplatňování a výklad dohody a v níž budou projednány všechny nově vzniklé otázky.</w:t>
      </w:r>
    </w:p>
    <w:p w:rsidR="00563C06" w:rsidRPr="007829F2" w:rsidRDefault="00563C06" w:rsidP="00563C06">
      <w:pPr>
        <w:numPr>
          <w:ilvl w:val="0"/>
          <w:numId w:val="5"/>
        </w:numPr>
        <w:spacing w:before="100" w:beforeAutospacing="1" w:after="30"/>
        <w:ind w:left="0"/>
        <w:jc w:val="both"/>
        <w:rPr>
          <w:rFonts w:cs="Times New Roman"/>
          <w:vanish/>
          <w:szCs w:val="24"/>
        </w:rPr>
      </w:pPr>
      <w:r w:rsidRPr="007829F2">
        <w:rPr>
          <w:rFonts w:cs="Times New Roman"/>
          <w:vanish/>
          <w:szCs w:val="24"/>
        </w:rPr>
        <w:t xml:space="preserve">Závazné mechanismy prosazování a řešení sporů zajistí, aby byla dodržována práva podniků, spotřebitelů a jednotlivců. To znamená, že </w:t>
      </w:r>
      <w:r w:rsidRPr="007829F2">
        <w:rPr>
          <w:rStyle w:val="Siln"/>
          <w:rFonts w:cs="Times New Roman"/>
          <w:vanish/>
          <w:szCs w:val="24"/>
        </w:rPr>
        <w:t>podniky v EU a ve Spojeném království spolu budou soutěžit za rovných podmínek a nedovolí, aby některá ze stran využila své autonomie v oblasti regulace k poskytování nespravedlivých subvencí nebo k narušení hospodářské soutěže.</w:t>
      </w:r>
    </w:p>
    <w:p w:rsidR="00563C06" w:rsidRPr="007829F2" w:rsidRDefault="00563C06" w:rsidP="00563C06">
      <w:pPr>
        <w:numPr>
          <w:ilvl w:val="0"/>
          <w:numId w:val="5"/>
        </w:numPr>
        <w:spacing w:before="100" w:beforeAutospacing="1" w:after="30"/>
        <w:ind w:left="0"/>
        <w:jc w:val="both"/>
        <w:rPr>
          <w:rFonts w:cs="Times New Roman"/>
          <w:vanish/>
          <w:szCs w:val="24"/>
        </w:rPr>
      </w:pPr>
      <w:r w:rsidRPr="007829F2">
        <w:rPr>
          <w:rFonts w:cs="Times New Roman"/>
          <w:vanish/>
          <w:szCs w:val="24"/>
        </w:rPr>
        <w:t>Obě strany se mohou v případě porušení dohody zapojit do meziodvětvových odvetných opatření. Tato meziodvětvová odvetná opatření se vztahují na všechny oblasti hospodářského partnerství.</w:t>
      </w:r>
    </w:p>
    <w:p w:rsidR="00563C06" w:rsidRPr="007829F2" w:rsidRDefault="00563C06" w:rsidP="00563C06">
      <w:pPr>
        <w:pStyle w:val="Normlnweb"/>
        <w:spacing w:line="276" w:lineRule="auto"/>
        <w:jc w:val="both"/>
        <w:rPr>
          <w:vanish/>
        </w:rPr>
      </w:pPr>
      <w:r w:rsidRPr="007829F2">
        <w:rPr>
          <w:vanish/>
        </w:rPr>
        <w:t> </w:t>
      </w:r>
    </w:p>
    <w:p w:rsidR="00563C06" w:rsidRPr="007829F2" w:rsidRDefault="00563C06" w:rsidP="00563C06">
      <w:pPr>
        <w:pStyle w:val="Normlnweb"/>
        <w:spacing w:line="276" w:lineRule="auto"/>
        <w:jc w:val="both"/>
      </w:pPr>
      <w:r w:rsidRPr="007829F2">
        <w:rPr>
          <w:rStyle w:val="Siln"/>
          <w:b w:val="0"/>
        </w:rPr>
        <w:t xml:space="preserve">Dohoda se nevztahuje na zahraniční politiku ani na spolupráci v oblasti vnější bezpečnosti a obrany, neboť Spojené království o těchto záležitostech jednat nechtělo. </w:t>
      </w:r>
      <w:r w:rsidRPr="007829F2">
        <w:t>Od 1. ledna 2021 proto mezi Spojeným královstvím a EU neexistuje žádný rámec</w:t>
      </w:r>
      <w:r w:rsidRPr="007829F2">
        <w:rPr>
          <w:b/>
        </w:rPr>
        <w:t xml:space="preserve"> </w:t>
      </w:r>
      <w:r w:rsidRPr="00F41192">
        <w:t>pro</w:t>
      </w:r>
      <w:r w:rsidRPr="007829F2">
        <w:t xml:space="preserve"> vypracování a koordinaci společných reakcí na výzvy v oblasti zahraniční politiky, například ukládání sankcí státním příslušníkům nebo ekonomikám třetích zemí.</w:t>
      </w:r>
    </w:p>
    <w:p w:rsidR="00121D3E" w:rsidRPr="0006153A" w:rsidRDefault="006A0F2E" w:rsidP="0006153A">
      <w:pPr>
        <w:spacing w:after="0"/>
        <w:jc w:val="both"/>
        <w:rPr>
          <w:rFonts w:cs="Times New Roman"/>
          <w:b/>
          <w:szCs w:val="24"/>
        </w:rPr>
      </w:pPr>
      <w:r w:rsidRPr="0006153A">
        <w:rPr>
          <w:rFonts w:cs="Times New Roman"/>
          <w:b/>
          <w:szCs w:val="24"/>
        </w:rPr>
        <w:t xml:space="preserve">Z </w:t>
      </w:r>
      <w:r w:rsidR="005748A0" w:rsidRPr="0006153A">
        <w:rPr>
          <w:rFonts w:cs="Times New Roman"/>
          <w:b/>
          <w:color w:val="333333"/>
          <w:szCs w:val="24"/>
        </w:rPr>
        <w:t xml:space="preserve">Dohody o obchodu a spolupráci mezi EU a Spojeným královstvím </w:t>
      </w:r>
      <w:r w:rsidR="005748A0" w:rsidRPr="0006153A">
        <w:rPr>
          <w:rFonts w:eastAsia="Arial" w:cs="Times New Roman"/>
          <w:b/>
          <w:szCs w:val="24"/>
        </w:rPr>
        <w:t xml:space="preserve">UK </w:t>
      </w:r>
      <w:r w:rsidR="00121D3E" w:rsidRPr="0006153A">
        <w:rPr>
          <w:rFonts w:eastAsia="Arial" w:cs="Times New Roman"/>
          <w:b/>
          <w:szCs w:val="24"/>
        </w:rPr>
        <w:t xml:space="preserve">pro </w:t>
      </w:r>
      <w:r w:rsidR="00F9306A" w:rsidRPr="0006153A">
        <w:rPr>
          <w:rFonts w:eastAsia="Arial" w:cs="Times New Roman"/>
          <w:b/>
          <w:szCs w:val="24"/>
        </w:rPr>
        <w:t xml:space="preserve">oblast působnosti </w:t>
      </w:r>
      <w:r w:rsidR="00121D3E" w:rsidRPr="0006153A">
        <w:rPr>
          <w:rFonts w:eastAsia="Arial" w:cs="Times New Roman"/>
          <w:b/>
          <w:szCs w:val="24"/>
        </w:rPr>
        <w:t>MK</w:t>
      </w:r>
      <w:r w:rsidR="00DD5D19" w:rsidRPr="0006153A">
        <w:rPr>
          <w:rFonts w:eastAsia="Arial" w:cs="Times New Roman"/>
          <w:b/>
          <w:szCs w:val="24"/>
        </w:rPr>
        <w:t xml:space="preserve"> </w:t>
      </w:r>
      <w:r w:rsidR="00F9306A" w:rsidRPr="0006153A">
        <w:rPr>
          <w:rFonts w:eastAsia="Arial" w:cs="Times New Roman"/>
          <w:b/>
          <w:szCs w:val="24"/>
        </w:rPr>
        <w:t>nevyplývá</w:t>
      </w:r>
      <w:r w:rsidR="00DD5D19" w:rsidRPr="0006153A">
        <w:rPr>
          <w:rFonts w:eastAsia="Arial" w:cs="Times New Roman"/>
          <w:b/>
          <w:szCs w:val="24"/>
        </w:rPr>
        <w:t xml:space="preserve"> nutnost </w:t>
      </w:r>
      <w:r w:rsidR="00121D3E" w:rsidRPr="0006153A">
        <w:rPr>
          <w:rFonts w:eastAsia="Arial" w:cs="Times New Roman"/>
          <w:b/>
          <w:szCs w:val="24"/>
        </w:rPr>
        <w:t>implementace</w:t>
      </w:r>
      <w:r w:rsidR="005748A0" w:rsidRPr="0006153A">
        <w:rPr>
          <w:rFonts w:eastAsia="Arial" w:cs="Times New Roman"/>
          <w:b/>
          <w:szCs w:val="24"/>
        </w:rPr>
        <w:t xml:space="preserve"> nebo přijetí zvláštních opatření</w:t>
      </w:r>
      <w:r w:rsidR="00121D3E" w:rsidRPr="0006153A">
        <w:rPr>
          <w:rFonts w:eastAsia="Arial" w:cs="Times New Roman"/>
          <w:b/>
          <w:szCs w:val="24"/>
        </w:rPr>
        <w:t>.</w:t>
      </w:r>
    </w:p>
    <w:p w:rsidR="002C3A1B" w:rsidRPr="0006153A" w:rsidRDefault="002C3A1B" w:rsidP="0006153A">
      <w:pPr>
        <w:spacing w:after="0"/>
        <w:jc w:val="both"/>
        <w:rPr>
          <w:rFonts w:cs="Times New Roman"/>
          <w:szCs w:val="24"/>
        </w:rPr>
      </w:pPr>
    </w:p>
    <w:p w:rsidR="00EC4A75" w:rsidRPr="0006153A" w:rsidRDefault="00EC4A75" w:rsidP="00532F8B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ind w:left="284" w:hanging="284"/>
        <w:jc w:val="both"/>
        <w:rPr>
          <w:rFonts w:eastAsia="Times New Roman"/>
          <w:b/>
          <w:color w:val="000000"/>
          <w:u w:val="single"/>
        </w:rPr>
      </w:pPr>
      <w:r w:rsidRPr="0006153A">
        <w:rPr>
          <w:rFonts w:eastAsia="Times New Roman"/>
          <w:b/>
          <w:color w:val="000000"/>
          <w:u w:val="single"/>
        </w:rPr>
        <w:t>Obchod se zbožím (Title I)</w:t>
      </w:r>
    </w:p>
    <w:p w:rsidR="00C205B0" w:rsidRPr="0006153A" w:rsidRDefault="00D133A2" w:rsidP="0006153A">
      <w:pPr>
        <w:spacing w:after="0"/>
        <w:jc w:val="both"/>
        <w:rPr>
          <w:rFonts w:cs="Times New Roman"/>
          <w:szCs w:val="24"/>
          <w:u w:val="single"/>
        </w:rPr>
      </w:pPr>
      <w:r w:rsidRPr="0006153A">
        <w:rPr>
          <w:rFonts w:cs="Times New Roman"/>
          <w:szCs w:val="24"/>
          <w:u w:val="single"/>
        </w:rPr>
        <w:t>Oblast ochrany kulturních statků</w:t>
      </w:r>
    </w:p>
    <w:p w:rsidR="00EC4A75" w:rsidRPr="0006153A" w:rsidRDefault="00EC4A75" w:rsidP="0006153A">
      <w:pPr>
        <w:spacing w:after="0"/>
        <w:jc w:val="both"/>
        <w:rPr>
          <w:rFonts w:cs="Times New Roman"/>
          <w:b/>
          <w:szCs w:val="24"/>
        </w:rPr>
      </w:pPr>
      <w:r w:rsidRPr="0006153A">
        <w:rPr>
          <w:rFonts w:cs="Times New Roman"/>
          <w:szCs w:val="24"/>
        </w:rPr>
        <w:t xml:space="preserve">UK se stane tzv. třetí zemí a ocitne se mimo evropské celní území, pro </w:t>
      </w:r>
      <w:r w:rsidRPr="0006153A">
        <w:rPr>
          <w:rFonts w:cs="Times New Roman"/>
          <w:bCs/>
          <w:szCs w:val="24"/>
        </w:rPr>
        <w:t>vývozy kulturních statků do UK</w:t>
      </w:r>
      <w:r w:rsidRPr="0006153A">
        <w:rPr>
          <w:rFonts w:cs="Times New Roman"/>
          <w:szCs w:val="24"/>
        </w:rPr>
        <w:t xml:space="preserve"> by bylo vyžadováno </w:t>
      </w:r>
      <w:r w:rsidRPr="0006153A">
        <w:rPr>
          <w:rFonts w:cs="Times New Roman"/>
          <w:bCs/>
          <w:szCs w:val="24"/>
        </w:rPr>
        <w:t>vývozní povolení podle zákona č. 214/2002 Sb., o vývozu některých kulturních statků z celního území Evropských společenství</w:t>
      </w:r>
      <w:r w:rsidRPr="0006153A">
        <w:rPr>
          <w:rFonts w:cs="Times New Roman"/>
          <w:szCs w:val="24"/>
        </w:rPr>
        <w:t>, ve znění pozdějších předpisů (Nařízení Rady (EHS) č. 3911/92 ze dne 9. prosince 1992 o vývozu kulturních statků a Nařízení Komise (EHS) č. 752/93 ze dne 30. března 1993, které stanoví způsob provádění nařízení Rady (EHS) č. 3911/92 o vývozu kulturních statků; resp. Nařízení Rady (ES) č. 116/2009 ze dne 18. prosince 2008 o vývozu kulturních statků a Prováděcí nařízení Komise (EU) č. 1081/2012 ze dne 9. listopadu 2012 k nařízení Rady (ES) č. 116/2009 o vývozu kulturních statků).</w:t>
      </w:r>
    </w:p>
    <w:p w:rsidR="00EC4A75" w:rsidRPr="0006153A" w:rsidRDefault="00EC4A75" w:rsidP="0006153A">
      <w:pPr>
        <w:pStyle w:val="Odstavecseseznamem"/>
        <w:spacing w:line="276" w:lineRule="auto"/>
        <w:ind w:left="284"/>
        <w:jc w:val="both"/>
      </w:pPr>
    </w:p>
    <w:p w:rsidR="00EC4A75" w:rsidRPr="0006153A" w:rsidRDefault="00EC4A75" w:rsidP="0006153A">
      <w:pPr>
        <w:jc w:val="both"/>
        <w:rPr>
          <w:rFonts w:cs="Times New Roman"/>
          <w:szCs w:val="24"/>
        </w:rPr>
      </w:pPr>
      <w:r w:rsidRPr="0006153A">
        <w:rPr>
          <w:rFonts w:cs="Times New Roman"/>
          <w:bCs/>
          <w:szCs w:val="24"/>
        </w:rPr>
        <w:t>Pro dovozy kulturních statků z UK</w:t>
      </w:r>
      <w:r w:rsidRPr="0006153A">
        <w:rPr>
          <w:rFonts w:cs="Times New Roman"/>
          <w:szCs w:val="24"/>
        </w:rPr>
        <w:t xml:space="preserve"> se v ČR uplatní </w:t>
      </w:r>
      <w:r w:rsidRPr="0006153A">
        <w:rPr>
          <w:rFonts w:cs="Times New Roman"/>
          <w:bCs/>
          <w:szCs w:val="24"/>
        </w:rPr>
        <w:t>Nařízení Evropského parlamentu a Rady (EU) 2019/880 ze dne 17. dubna 2019 o vs</w:t>
      </w:r>
      <w:r w:rsidR="0031015C">
        <w:rPr>
          <w:rFonts w:cs="Times New Roman"/>
          <w:bCs/>
          <w:szCs w:val="24"/>
        </w:rPr>
        <w:t>tupu a dovozu kulturních statků.</w:t>
      </w:r>
      <w:r w:rsidRPr="0006153A">
        <w:rPr>
          <w:rFonts w:cs="Times New Roman"/>
          <w:bCs/>
          <w:szCs w:val="24"/>
        </w:rPr>
        <w:br/>
      </w:r>
      <w:r w:rsidRPr="0006153A">
        <w:rPr>
          <w:rFonts w:cs="Times New Roman"/>
          <w:szCs w:val="24"/>
        </w:rPr>
        <w:t>Podle N</w:t>
      </w:r>
      <w:r w:rsidR="0031015C">
        <w:rPr>
          <w:rFonts w:cs="Times New Roman"/>
          <w:szCs w:val="24"/>
        </w:rPr>
        <w:t>ařízení 2019/880 </w:t>
      </w:r>
      <w:r w:rsidRPr="0006153A">
        <w:rPr>
          <w:rFonts w:cs="Times New Roman"/>
          <w:szCs w:val="24"/>
        </w:rPr>
        <w:t>podléhá regulaci dovoz kategorií kulturních statků, které jsou uvedeny v částech A a B přílohy tohoto nařízení.</w:t>
      </w:r>
      <w:r w:rsidRPr="0006153A">
        <w:rPr>
          <w:rFonts w:cs="Times New Roman"/>
          <w:bCs/>
          <w:szCs w:val="24"/>
        </w:rPr>
        <w:t xml:space="preserve"> T</w:t>
      </w:r>
      <w:r w:rsidR="0031015C">
        <w:rPr>
          <w:rFonts w:cs="Times New Roman"/>
          <w:bCs/>
          <w:szCs w:val="24"/>
        </w:rPr>
        <w:t>oto nařízení se však netýká</w:t>
      </w:r>
      <w:r w:rsidRPr="0006153A">
        <w:rPr>
          <w:rFonts w:cs="Times New Roman"/>
          <w:bCs/>
          <w:szCs w:val="24"/>
        </w:rPr>
        <w:t xml:space="preserve"> navracení kulturních statků dočasně zapůjčených do UK za účely vystavování, restaurování, akademických účelů, protože pro tyto případy není vyžadována dovozní licence ani registrace.</w:t>
      </w:r>
    </w:p>
    <w:p w:rsidR="00EC4A75" w:rsidRPr="0006153A" w:rsidRDefault="00EC4A75" w:rsidP="0006153A">
      <w:pPr>
        <w:pStyle w:val="Default"/>
        <w:spacing w:line="276" w:lineRule="auto"/>
        <w:jc w:val="both"/>
      </w:pPr>
      <w:r w:rsidRPr="0006153A">
        <w:t>Na UK se již nebude vztahovat</w:t>
      </w:r>
      <w:r w:rsidRPr="0006153A">
        <w:rPr>
          <w:bCs/>
        </w:rPr>
        <w:t xml:space="preserve"> Směrnice Evropského parlamentu a Rady 2014/60/EU o navracení kulturních statků neoprávněně vyvezených z území členského státu</w:t>
      </w:r>
      <w:r w:rsidRPr="0006153A">
        <w:t>, implementovaná do českého práva Zákonem č. 101/2001 Sb., o navracení nezákonně vyvezených kulturních statků.</w:t>
      </w:r>
    </w:p>
    <w:p w:rsidR="00EC4A75" w:rsidRPr="0006153A" w:rsidRDefault="00EC4A75" w:rsidP="0006153A">
      <w:pPr>
        <w:spacing w:after="0"/>
        <w:jc w:val="both"/>
        <w:rPr>
          <w:rFonts w:cs="Times New Roman"/>
          <w:b/>
          <w:szCs w:val="24"/>
        </w:rPr>
      </w:pPr>
    </w:p>
    <w:p w:rsidR="00EC4A75" w:rsidRPr="0006153A" w:rsidRDefault="00EC4A75" w:rsidP="0006153A">
      <w:pPr>
        <w:pStyle w:val="Default"/>
        <w:spacing w:line="276" w:lineRule="auto"/>
        <w:jc w:val="both"/>
      </w:pPr>
      <w:r w:rsidRPr="0006153A">
        <w:t>Obecně se tato problematika bude řídit Úmluvou UNESCO o opatřeních k zákazu a zamezení nedovoleného dovozu, vývozu a převodu vlastnictví kulturních statků z roku 1970, jejíž smluvními stranami jsou ČR i UK.</w:t>
      </w:r>
    </w:p>
    <w:p w:rsidR="00EC4A75" w:rsidRPr="0006153A" w:rsidRDefault="00EC4A75" w:rsidP="0006153A">
      <w:pPr>
        <w:pStyle w:val="Default"/>
        <w:spacing w:line="276" w:lineRule="auto"/>
        <w:jc w:val="both"/>
      </w:pPr>
    </w:p>
    <w:p w:rsidR="00EC4A75" w:rsidRPr="0006153A" w:rsidRDefault="00EC4A75" w:rsidP="0006153A">
      <w:pPr>
        <w:spacing w:after="0"/>
        <w:jc w:val="both"/>
        <w:rPr>
          <w:rFonts w:cs="Times New Roman"/>
          <w:b/>
          <w:szCs w:val="24"/>
          <w:u w:val="single"/>
        </w:rPr>
      </w:pPr>
      <w:r w:rsidRPr="0006153A">
        <w:rPr>
          <w:rFonts w:cs="Times New Roman"/>
          <w:szCs w:val="24"/>
        </w:rPr>
        <w:t>Pro vývoz kulturních památek podle § 20 zákona č. 20/1987 Sb., o státní památkové péči, ve znění pozdějších předpisů, je již nyní kodifikován tak, že každý vývoz kulturní památky mimo hranice České republiky, byť v rámci EU, vyžaduje povolení Ministerstva kultury. Nastaven je i proces vývozu kulturních p</w:t>
      </w:r>
      <w:r w:rsidR="0031015C">
        <w:rPr>
          <w:rFonts w:cs="Times New Roman"/>
          <w:szCs w:val="24"/>
        </w:rPr>
        <w:t xml:space="preserve">amátek mimo EU, ve vztahu k UK </w:t>
      </w:r>
      <w:r w:rsidRPr="0006153A">
        <w:rPr>
          <w:rFonts w:cs="Times New Roman"/>
          <w:szCs w:val="24"/>
        </w:rPr>
        <w:t>bude tedy aplikován tento již běžně praktikovaný režim.</w:t>
      </w:r>
    </w:p>
    <w:p w:rsidR="00EC4A75" w:rsidRPr="0006153A" w:rsidRDefault="00EC4A75" w:rsidP="0006153A">
      <w:pPr>
        <w:jc w:val="both"/>
        <w:rPr>
          <w:rFonts w:cs="Times New Roman"/>
          <w:szCs w:val="24"/>
        </w:rPr>
      </w:pPr>
    </w:p>
    <w:p w:rsidR="005748A0" w:rsidRPr="0006153A" w:rsidRDefault="005748A0" w:rsidP="00532F8B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b/>
          <w:u w:val="single"/>
        </w:rPr>
      </w:pPr>
      <w:r w:rsidRPr="0006153A">
        <w:rPr>
          <w:b/>
          <w:u w:val="single"/>
        </w:rPr>
        <w:t>Obchod se službami, volný pohyb kapitálu (Title 2 a 4)</w:t>
      </w:r>
    </w:p>
    <w:p w:rsidR="00126476" w:rsidRPr="00126476" w:rsidRDefault="00126476" w:rsidP="0006153A">
      <w:pPr>
        <w:spacing w:after="0"/>
        <w:jc w:val="both"/>
        <w:rPr>
          <w:rFonts w:cs="Times New Roman"/>
          <w:szCs w:val="24"/>
          <w:u w:val="single"/>
        </w:rPr>
      </w:pPr>
    </w:p>
    <w:p w:rsidR="002C3A1B" w:rsidRPr="0006153A" w:rsidRDefault="002C3A1B" w:rsidP="0006153A">
      <w:pPr>
        <w:spacing w:after="0"/>
        <w:jc w:val="both"/>
        <w:rPr>
          <w:rFonts w:cs="Times New Roman"/>
          <w:szCs w:val="24"/>
          <w:u w:val="single"/>
        </w:rPr>
      </w:pPr>
      <w:r w:rsidRPr="0006153A">
        <w:rPr>
          <w:rFonts w:cs="Times New Roman"/>
          <w:szCs w:val="24"/>
          <w:u w:val="single"/>
        </w:rPr>
        <w:t>O</w:t>
      </w:r>
      <w:r w:rsidR="002B6BB2" w:rsidRPr="0006153A">
        <w:rPr>
          <w:rFonts w:cs="Times New Roman"/>
          <w:szCs w:val="24"/>
          <w:u w:val="single"/>
        </w:rPr>
        <w:t>blast</w:t>
      </w:r>
      <w:r w:rsidR="003C5EC9" w:rsidRPr="0006153A">
        <w:rPr>
          <w:rFonts w:cs="Times New Roman"/>
          <w:szCs w:val="24"/>
          <w:u w:val="single"/>
        </w:rPr>
        <w:t xml:space="preserve"> </w:t>
      </w:r>
      <w:r w:rsidRPr="0006153A">
        <w:rPr>
          <w:rFonts w:cs="Times New Roman"/>
          <w:szCs w:val="24"/>
          <w:u w:val="single"/>
        </w:rPr>
        <w:t xml:space="preserve">médií a </w:t>
      </w:r>
      <w:r w:rsidR="003C5EC9" w:rsidRPr="0006153A">
        <w:rPr>
          <w:rFonts w:cs="Times New Roman"/>
          <w:szCs w:val="24"/>
          <w:u w:val="single"/>
        </w:rPr>
        <w:t xml:space="preserve">audiovize </w:t>
      </w:r>
    </w:p>
    <w:p w:rsidR="005748A0" w:rsidRPr="0006153A" w:rsidRDefault="005748A0" w:rsidP="0006153A">
      <w:pPr>
        <w:spacing w:after="0"/>
        <w:jc w:val="both"/>
        <w:rPr>
          <w:rFonts w:cs="Times New Roman"/>
          <w:szCs w:val="24"/>
        </w:rPr>
      </w:pPr>
      <w:r w:rsidRPr="0006153A">
        <w:rPr>
          <w:rFonts w:cs="Times New Roman"/>
          <w:szCs w:val="24"/>
        </w:rPr>
        <w:t xml:space="preserve">V oblasti </w:t>
      </w:r>
      <w:r w:rsidRPr="0006153A">
        <w:rPr>
          <w:rFonts w:cs="Times New Roman"/>
          <w:b/>
          <w:szCs w:val="24"/>
        </w:rPr>
        <w:t>médií a audiovize</w:t>
      </w:r>
      <w:r w:rsidRPr="0006153A">
        <w:rPr>
          <w:rFonts w:cs="Times New Roman"/>
          <w:szCs w:val="24"/>
        </w:rPr>
        <w:t xml:space="preserve"> bude nutné aplikovat režim dle Evropské úmluvy o přeshraniční televizi Rady Evropy, neboť UK i ČR jsou smluvními stranami této úmluvy. Tato úmluva v řadě aspektů pokrývá stejné oblasti jako směrnice o audiovizuálních mediálních službách, nicméně režimy dle Úmluvy a dle směrnice nejsou zcela kompatibilní. UK deklarovalo záměr implementovat směrnici o audiovizuálních mediálních službách do svého právního řádu, čímž se případné rozdíly významně eliminují. Dopady v praxi budou znamenat tu skutečnost, že provozovatelé vysílající na území ČR budou žádat o přidělení licencí u českého regulátora Rady pro rozhlasové a televizní vysílání, či jiného regulačního orgánu v některé členské zemi, aby mohli využívat režim směrnice o audiovizuálních mediálních službách. Obdobně případné šíření služeb s českou licencí nebude v UK možné a tyto subjekty budu muset žádat o licenci u tamního regulátora OFCOM.</w:t>
      </w:r>
    </w:p>
    <w:p w:rsidR="002C3A1B" w:rsidRPr="0006153A" w:rsidRDefault="002C3A1B" w:rsidP="0006153A">
      <w:pPr>
        <w:spacing w:after="0"/>
        <w:jc w:val="both"/>
        <w:rPr>
          <w:rFonts w:cs="Times New Roman"/>
          <w:szCs w:val="24"/>
        </w:rPr>
      </w:pPr>
    </w:p>
    <w:p w:rsidR="005748A0" w:rsidRPr="0006153A" w:rsidRDefault="005748A0" w:rsidP="00532F8B">
      <w:pPr>
        <w:pStyle w:val="Odstavecseseznamem"/>
        <w:numPr>
          <w:ilvl w:val="0"/>
          <w:numId w:val="6"/>
        </w:numPr>
        <w:spacing w:line="276" w:lineRule="auto"/>
        <w:ind w:left="284" w:hanging="284"/>
        <w:jc w:val="both"/>
        <w:rPr>
          <w:b/>
          <w:u w:val="single"/>
        </w:rPr>
      </w:pPr>
      <w:r w:rsidRPr="0006153A">
        <w:rPr>
          <w:b/>
          <w:u w:val="single"/>
        </w:rPr>
        <w:t>Duševní vlastnictví (Title V)</w:t>
      </w:r>
    </w:p>
    <w:p w:rsidR="00EC4A75" w:rsidRPr="0006153A" w:rsidRDefault="00EC4A75" w:rsidP="0006153A">
      <w:pPr>
        <w:jc w:val="both"/>
        <w:rPr>
          <w:rFonts w:cs="Times New Roman"/>
          <w:szCs w:val="24"/>
        </w:rPr>
      </w:pPr>
      <w:r w:rsidRPr="0006153A">
        <w:rPr>
          <w:rFonts w:cs="Times New Roman"/>
          <w:szCs w:val="24"/>
        </w:rPr>
        <w:t xml:space="preserve">Dohoda </w:t>
      </w:r>
      <w:r w:rsidR="005748A0" w:rsidRPr="0006153A">
        <w:rPr>
          <w:rFonts w:cs="Times New Roman"/>
          <w:szCs w:val="24"/>
        </w:rPr>
        <w:t xml:space="preserve">si klade za cíl usnadnit výrobu, poskytování a komercializaci inovativních a kreativních produktů mezi stranami a zajistit adekvátní úroveň ochrany a prosazování IPR. Dohoda by měla doplňovat a blíže specifikovat ochranu poskytovanou podle  TRIPs a dalších mezinárodních dohod uzavřených v rámci WIPO. </w:t>
      </w:r>
    </w:p>
    <w:p w:rsidR="005748A0" w:rsidRPr="0006153A" w:rsidRDefault="00EC4A75" w:rsidP="0006153A">
      <w:pPr>
        <w:jc w:val="both"/>
        <w:rPr>
          <w:rFonts w:cs="Times New Roman"/>
          <w:szCs w:val="24"/>
        </w:rPr>
      </w:pPr>
      <w:r w:rsidRPr="0006153A">
        <w:rPr>
          <w:rFonts w:cs="Times New Roman"/>
          <w:szCs w:val="24"/>
        </w:rPr>
        <w:t xml:space="preserve">Dohoda </w:t>
      </w:r>
      <w:r w:rsidR="005748A0" w:rsidRPr="0006153A">
        <w:rPr>
          <w:rFonts w:cs="Times New Roman"/>
          <w:szCs w:val="24"/>
        </w:rPr>
        <w:t xml:space="preserve">obsahuje ustanovení týkající se přímo </w:t>
      </w:r>
      <w:r w:rsidR="005748A0" w:rsidRPr="0006153A">
        <w:rPr>
          <w:rFonts w:cs="Times New Roman"/>
          <w:b/>
          <w:szCs w:val="24"/>
        </w:rPr>
        <w:t>autorských práv</w:t>
      </w:r>
      <w:r w:rsidR="005748A0" w:rsidRPr="0006153A">
        <w:rPr>
          <w:rFonts w:cs="Times New Roman"/>
          <w:szCs w:val="24"/>
        </w:rPr>
        <w:t xml:space="preserve">, konkrétně práv autorů (čl. IP. 7), práv výkonných umělců (čl. IP. 8), práv výrobců zvukových záznamů (čl. IP. 9), práv vysílacích organizací (čl. IP. 10), úprava vysílání a sdělování veřejnosti zvukových záznamů vydaných k obchodním účelům (čl. IP. 11), úprava trvání doby ochrany práv (čl. IP. 12), úprava týkající se práva na odměnu při opětném prodeji originálu uměleckého díla, tzv. resale right </w:t>
      </w:r>
      <w:r w:rsidR="005748A0" w:rsidRPr="0006153A">
        <w:rPr>
          <w:rFonts w:cs="Times New Roman"/>
          <w:i/>
          <w:szCs w:val="24"/>
        </w:rPr>
        <w:t>(někdy překládáno jako „právo na opětný prodej)</w:t>
      </w:r>
      <w:r w:rsidR="005748A0" w:rsidRPr="0006153A">
        <w:rPr>
          <w:rFonts w:cs="Times New Roman"/>
          <w:szCs w:val="24"/>
        </w:rPr>
        <w:t xml:space="preserve"> (čl. IP. 13), úprava týkající se kolektivní správy práv (čl. IP. 14), obecné pravidlo týkající se možnosti zavádět výjimky a omezení autorských práv (čl. IP. 15), úprava týkající technických prostředků ochrany (čl. IP. 16) a úprava povinností týkající se informací o správě práv (čl. IP. 17).</w:t>
      </w:r>
    </w:p>
    <w:p w:rsidR="00EC4A75" w:rsidRPr="0006153A" w:rsidRDefault="00EC4A75" w:rsidP="0006153A">
      <w:pPr>
        <w:jc w:val="center"/>
        <w:rPr>
          <w:rFonts w:cs="Times New Roman"/>
          <w:szCs w:val="24"/>
        </w:rPr>
      </w:pPr>
      <w:r w:rsidRPr="0006153A">
        <w:rPr>
          <w:rFonts w:cs="Times New Roman"/>
          <w:szCs w:val="24"/>
        </w:rPr>
        <w:t>***</w:t>
      </w:r>
    </w:p>
    <w:p w:rsidR="00EC4A75" w:rsidRPr="0006153A" w:rsidRDefault="00EC4A75" w:rsidP="0006153A">
      <w:pPr>
        <w:spacing w:after="0"/>
        <w:jc w:val="both"/>
        <w:rPr>
          <w:rFonts w:cs="Times New Roman"/>
          <w:b/>
          <w:szCs w:val="24"/>
        </w:rPr>
      </w:pPr>
      <w:r w:rsidRPr="0006153A">
        <w:rPr>
          <w:rFonts w:cs="Times New Roman"/>
          <w:b/>
          <w:szCs w:val="24"/>
        </w:rPr>
        <w:t>Oblast kultury</w:t>
      </w:r>
    </w:p>
    <w:p w:rsidR="00EC4A75" w:rsidRPr="0006153A" w:rsidRDefault="00EC4A75" w:rsidP="0006153A">
      <w:pPr>
        <w:spacing w:after="0"/>
        <w:jc w:val="both"/>
        <w:rPr>
          <w:rFonts w:cs="Times New Roman"/>
          <w:szCs w:val="24"/>
        </w:rPr>
      </w:pPr>
      <w:r w:rsidRPr="0006153A">
        <w:rPr>
          <w:rFonts w:cs="Times New Roman"/>
          <w:szCs w:val="24"/>
        </w:rPr>
        <w:t xml:space="preserve">Dohoda o vystoupení </w:t>
      </w:r>
      <w:r w:rsidR="0006153A" w:rsidRPr="0006153A">
        <w:rPr>
          <w:rFonts w:cs="Times New Roman"/>
          <w:szCs w:val="24"/>
        </w:rPr>
        <w:t>EU</w:t>
      </w:r>
      <w:r w:rsidR="00532F8B">
        <w:rPr>
          <w:rFonts w:cs="Times New Roman"/>
          <w:szCs w:val="24"/>
        </w:rPr>
        <w:t xml:space="preserve"> </w:t>
      </w:r>
      <w:r w:rsidR="0006153A" w:rsidRPr="0006153A">
        <w:rPr>
          <w:rFonts w:cs="Times New Roman"/>
          <w:szCs w:val="24"/>
        </w:rPr>
        <w:t xml:space="preserve">- UK </w:t>
      </w:r>
      <w:r w:rsidRPr="0006153A">
        <w:rPr>
          <w:rFonts w:cs="Times New Roman"/>
          <w:szCs w:val="24"/>
        </w:rPr>
        <w:t>n</w:t>
      </w:r>
      <w:r w:rsidR="0006153A" w:rsidRPr="0006153A">
        <w:rPr>
          <w:rFonts w:cs="Times New Roman"/>
          <w:szCs w:val="24"/>
        </w:rPr>
        <w:t>epředpokládala</w:t>
      </w:r>
      <w:r w:rsidRPr="0006153A">
        <w:rPr>
          <w:rFonts w:cs="Times New Roman"/>
          <w:szCs w:val="24"/>
        </w:rPr>
        <w:t xml:space="preserve"> přijetí zvláštních opatření v oblasti kultury. </w:t>
      </w:r>
    </w:p>
    <w:p w:rsidR="00EC4A75" w:rsidRPr="0006153A" w:rsidRDefault="00EC4A75" w:rsidP="0006153A">
      <w:pPr>
        <w:spacing w:after="0"/>
        <w:jc w:val="both"/>
        <w:rPr>
          <w:rFonts w:cs="Times New Roman"/>
          <w:szCs w:val="24"/>
        </w:rPr>
      </w:pPr>
    </w:p>
    <w:p w:rsidR="00EC4A75" w:rsidRPr="0006153A" w:rsidRDefault="00EC4A75" w:rsidP="0006153A">
      <w:pPr>
        <w:spacing w:after="0"/>
        <w:jc w:val="both"/>
        <w:rPr>
          <w:rFonts w:cs="Times New Roman"/>
          <w:szCs w:val="24"/>
        </w:rPr>
      </w:pPr>
      <w:r w:rsidRPr="0006153A">
        <w:rPr>
          <w:rFonts w:cs="Times New Roman"/>
          <w:szCs w:val="24"/>
        </w:rPr>
        <w:t xml:space="preserve">Základním nástrojem podpory EU pro oblast kultury a audiovize je komunitární program Kreativní Evropa. V současné době je projednáván návrh programu Kreativní </w:t>
      </w:r>
      <w:r w:rsidR="0006153A" w:rsidRPr="0006153A">
        <w:rPr>
          <w:rFonts w:cs="Times New Roman"/>
          <w:szCs w:val="24"/>
        </w:rPr>
        <w:t>Evropa</w:t>
      </w:r>
      <w:r w:rsidR="00436B2D">
        <w:rPr>
          <w:rFonts w:cs="Times New Roman"/>
          <w:szCs w:val="24"/>
        </w:rPr>
        <w:t xml:space="preserve"> na období let 2021 – 2027</w:t>
      </w:r>
      <w:r w:rsidR="0006153A" w:rsidRPr="0006153A">
        <w:rPr>
          <w:rFonts w:cs="Times New Roman"/>
          <w:szCs w:val="24"/>
        </w:rPr>
        <w:t>.</w:t>
      </w:r>
      <w:r w:rsidRPr="0006153A">
        <w:rPr>
          <w:rFonts w:cs="Times New Roman"/>
          <w:szCs w:val="24"/>
        </w:rPr>
        <w:t xml:space="preserve"> Během dosavadních jednání Výboru pro kulturní záležitosti Rady (CAC) se o možnostech účasti UK v tomto programu jednalo pouze jednou s tím, že existuje možnost v případě zájmu UK stát se tzv. třetí zemí. Účast třetích zemí je v programu podmíněna zaplacením účastnického poplatku. Jiné legislativní opatření není vyžadováno.</w:t>
      </w:r>
    </w:p>
    <w:p w:rsidR="00126476" w:rsidRDefault="00126476" w:rsidP="0006153A">
      <w:pPr>
        <w:spacing w:after="0"/>
        <w:jc w:val="both"/>
        <w:rPr>
          <w:rFonts w:cs="Times New Roman"/>
          <w:szCs w:val="24"/>
          <w:u w:val="single"/>
        </w:rPr>
      </w:pPr>
    </w:p>
    <w:p w:rsidR="00532F8B" w:rsidRPr="009C703F" w:rsidRDefault="0059126A" w:rsidP="009C703F">
      <w:pPr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Oblast kultury </w:t>
      </w:r>
      <w:r w:rsidR="00436B2D">
        <w:rPr>
          <w:rFonts w:cs="Times New Roman"/>
          <w:szCs w:val="24"/>
          <w:u w:val="single"/>
        </w:rPr>
        <w:t xml:space="preserve">ve vztahu k pracovní mobilitě </w:t>
      </w:r>
    </w:p>
    <w:p w:rsidR="00436B2D" w:rsidRPr="00532F8B" w:rsidRDefault="00436B2D" w:rsidP="00532F8B">
      <w:pPr>
        <w:jc w:val="both"/>
        <w:rPr>
          <w:rFonts w:cs="Times New Roman"/>
        </w:rPr>
      </w:pPr>
      <w:r w:rsidRPr="00436B2D">
        <w:rPr>
          <w:rFonts w:cs="Times New Roman"/>
        </w:rPr>
        <w:t>Dohoda stanoví v hlavě II, nadpis I, části II podmínky pro poskytování služeb. Zde je výslovně stanoveno, že podmínky pro vstup na trh práce obou stran Dohody nejsou upraveny. Mobilitu fyzických osob v rámci poskytování služeb pak upravuje příloha Dohody S</w:t>
      </w:r>
      <w:r w:rsidR="00532F8B">
        <w:rPr>
          <w:rFonts w:cs="Times New Roman"/>
        </w:rPr>
        <w:t xml:space="preserve">ERVIN-5. </w:t>
      </w:r>
      <w:r w:rsidRPr="00436B2D">
        <w:rPr>
          <w:rFonts w:cs="Times New Roman"/>
        </w:rPr>
        <w:t xml:space="preserve">Pracovní podmínky pro pracovníky vyslané v rámci nadnárodního poskytování služeb upraveny Dohodou nejsou.  </w:t>
      </w:r>
    </w:p>
    <w:p w:rsidR="00EC4A75" w:rsidRPr="0006153A" w:rsidRDefault="00EC4A75" w:rsidP="0006153A">
      <w:pPr>
        <w:jc w:val="both"/>
        <w:rPr>
          <w:rFonts w:cs="Times New Roman"/>
          <w:szCs w:val="24"/>
        </w:rPr>
      </w:pPr>
      <w:r w:rsidRPr="0006153A">
        <w:rPr>
          <w:rFonts w:cs="Times New Roman"/>
          <w:szCs w:val="24"/>
        </w:rPr>
        <w:t>Britští umě</w:t>
      </w:r>
      <w:r w:rsidR="00436B2D">
        <w:rPr>
          <w:rFonts w:cs="Times New Roman"/>
          <w:szCs w:val="24"/>
        </w:rPr>
        <w:t>lci budou mít statut umělce ze z</w:t>
      </w:r>
      <w:r w:rsidRPr="0006153A">
        <w:rPr>
          <w:rFonts w:cs="Times New Roman"/>
          <w:szCs w:val="24"/>
        </w:rPr>
        <w:t>emí mimo EU. Pokud by hodlali uzavřít v ČR pracovněprávní vztah, museli by dodržovat zákon o zaměstnanosti (č. 435/2004 Sb.), konkrétně jeho § 85. Pokud má být zaměstnán cizinec v pracovněprávním vztahu, je třeba, aby měl platnou zaměstnaneckou kartu, kartu vnitropodnikově převedeného zaměstnance nebo tzv. modrou kartu, anebo aby měl platné povolení k zaměstnání vydané krajskou pobočkou Úřadu práce a k tomu platné oprávnění k pobytu na území České republiky. To neplatí u zaměstnanců vyjmenovaných v § 98 zákona o zaměstnanosti. Dále je nutno vyzdvihnout výjimku podle § 98 písm. d) zákona o zaměstnanosti, která se týká cizince, jehož výkon práce na území České republiky nepřesáhne 7 po sobě jdoucích kalendářních dnů nebo celkem 30 dnů v kalendářním roce a tento cizinec je zároveň výkonným umělcem (ve smyslu autorského zákona), pedagogickým pracovníkem nebo akademickým pracovníkem vysoké škol</w:t>
      </w:r>
      <w:r w:rsidR="009C703F">
        <w:rPr>
          <w:rFonts w:cs="Times New Roman"/>
          <w:szCs w:val="24"/>
        </w:rPr>
        <w:t>y.</w:t>
      </w:r>
    </w:p>
    <w:p w:rsidR="00532F8B" w:rsidRPr="009C703F" w:rsidRDefault="0059126A" w:rsidP="009C703F">
      <w:pPr>
        <w:rPr>
          <w:u w:val="single"/>
        </w:rPr>
      </w:pPr>
      <w:r w:rsidRPr="00EF234A">
        <w:rPr>
          <w:u w:val="single"/>
        </w:rPr>
        <w:t>Uznávání odborných kvalifikací:</w:t>
      </w:r>
    </w:p>
    <w:p w:rsidR="0059126A" w:rsidRDefault="0059126A" w:rsidP="0059126A">
      <w:pPr>
        <w:pStyle w:val="Default"/>
        <w:spacing w:line="276" w:lineRule="auto"/>
        <w:jc w:val="both"/>
      </w:pPr>
      <w:r>
        <w:rPr>
          <w:color w:val="auto"/>
        </w:rPr>
        <w:t xml:space="preserve">Z této oblasti se MK týká profese restaurátora a archeologa. MK se řídí směrnicí </w:t>
      </w:r>
      <w:r w:rsidRPr="00C033D9">
        <w:rPr>
          <w:color w:val="auto"/>
        </w:rPr>
        <w:t>2005/36/ES o uznávání odborných kvalifikac</w:t>
      </w:r>
      <w:r>
        <w:rPr>
          <w:color w:val="auto"/>
        </w:rPr>
        <w:t xml:space="preserve">í a </w:t>
      </w:r>
      <w:r w:rsidRPr="00C033D9">
        <w:t>zákon</w:t>
      </w:r>
      <w:r>
        <w:t>em</w:t>
      </w:r>
      <w:r w:rsidRPr="00C033D9">
        <w:t xml:space="preserve"> č. 74/2019 Sb., </w:t>
      </w:r>
      <w:r w:rsidRPr="00C033D9">
        <w:rPr>
          <w:bCs/>
        </w:rPr>
        <w:t>o úpravě některých vztahů v souvislosti s vystoupením Spojeného království Velké Británie a Severního Irska z Evropské unie, který upravuje i uznávání odborných kvalifikací</w:t>
      </w:r>
      <w:r>
        <w:rPr>
          <w:color w:val="auto"/>
        </w:rPr>
        <w:t>.</w:t>
      </w:r>
      <w:r>
        <w:t xml:space="preserve"> </w:t>
      </w:r>
      <w:r w:rsidR="00532F8B">
        <w:t xml:space="preserve">Na žadatele z UK se bude </w:t>
      </w:r>
      <w:r>
        <w:t>vztahovat zákon č. 74/2019 Sb.,</w:t>
      </w:r>
      <w:r w:rsidRPr="00FC0C3E">
        <w:rPr>
          <w:bCs/>
        </w:rPr>
        <w:t xml:space="preserve"> </w:t>
      </w:r>
      <w:r w:rsidRPr="00C033D9">
        <w:rPr>
          <w:bCs/>
        </w:rPr>
        <w:t>o úpravě některých vztahů v souvislosti s vystoupením Spojeného království Velké Británie a Severního Irska z Evropské unie</w:t>
      </w:r>
      <w:r>
        <w:t xml:space="preserve"> a </w:t>
      </w:r>
      <w:r w:rsidR="00532F8B">
        <w:t xml:space="preserve">jeho žádost </w:t>
      </w:r>
      <w:r>
        <w:t xml:space="preserve">bude dle konkrétní nastalé situace posouzena.  </w:t>
      </w:r>
    </w:p>
    <w:p w:rsidR="00532F8B" w:rsidRDefault="00532F8B" w:rsidP="0059126A">
      <w:pPr>
        <w:pStyle w:val="Default"/>
        <w:spacing w:line="276" w:lineRule="auto"/>
        <w:jc w:val="both"/>
      </w:pPr>
    </w:p>
    <w:p w:rsidR="00532F8B" w:rsidRDefault="00532F8B" w:rsidP="0059126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 odchodu UK z EU </w:t>
      </w:r>
      <w:r w:rsidR="0059126A" w:rsidRPr="00EF234A">
        <w:rPr>
          <w:rFonts w:cs="Times New Roman"/>
          <w:szCs w:val="24"/>
        </w:rPr>
        <w:t xml:space="preserve">bude výkon památkových povolání (restaurování kulturních památek, provádění archeologických výzkumů) umožněn dle příslušných ustanovení výše citovaného zákona o státní památkové péči. </w:t>
      </w:r>
    </w:p>
    <w:p w:rsidR="00532F8B" w:rsidRPr="00532F8B" w:rsidRDefault="00532F8B" w:rsidP="00532F8B">
      <w:pPr>
        <w:jc w:val="both"/>
        <w:rPr>
          <w:rFonts w:cs="Times New Roman"/>
          <w:szCs w:val="24"/>
          <w:u w:val="single"/>
        </w:rPr>
      </w:pPr>
      <w:r w:rsidRPr="00532F8B">
        <w:rPr>
          <w:rFonts w:cs="Times New Roman"/>
          <w:szCs w:val="24"/>
          <w:u w:val="single"/>
        </w:rPr>
        <w:t>Bilaterální kulturní vztahy ČR – UK</w:t>
      </w:r>
    </w:p>
    <w:p w:rsidR="00532F8B" w:rsidRPr="0006153A" w:rsidRDefault="00532F8B" w:rsidP="00532F8B">
      <w:pPr>
        <w:spacing w:after="0"/>
        <w:jc w:val="both"/>
        <w:rPr>
          <w:rFonts w:cs="Times New Roman"/>
          <w:szCs w:val="24"/>
        </w:rPr>
      </w:pPr>
      <w:r w:rsidRPr="0006153A">
        <w:rPr>
          <w:rFonts w:cs="Times New Roman"/>
          <w:szCs w:val="24"/>
        </w:rPr>
        <w:t xml:space="preserve">Smluvní základnu k bilaterálním kulturním vztahům se Spojeným královstvím tvoří Kulturní dohoda mezi vládou ČSFR a vládou Spojeného království Velké Británie a Severního Irska o spolupráci v oblasti školství, vědy a kultury (Londýn, 3. dubna 1990), Dohoda o zřízení a činnosti kulturních středisek (168/1992 Sb.) a Memorandum o porozumění a spolupráci v oblasti kultury mezi Ministerstvem kultury ČR a British Council (Londýn, 16. února 2004). Tyto dohody se automaticky prodlužují a zůstanou v platnosti. </w:t>
      </w:r>
    </w:p>
    <w:p w:rsidR="00532F8B" w:rsidRPr="0006153A" w:rsidRDefault="005608A0" w:rsidP="005608A0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***</w:t>
      </w:r>
    </w:p>
    <w:p w:rsidR="00532F8B" w:rsidRDefault="00532F8B" w:rsidP="0059126A">
      <w:pPr>
        <w:jc w:val="both"/>
        <w:rPr>
          <w:rFonts w:cs="Times New Roman"/>
          <w:szCs w:val="24"/>
        </w:rPr>
      </w:pPr>
    </w:p>
    <w:p w:rsidR="00C81216" w:rsidRPr="00C81216" w:rsidRDefault="00C81216" w:rsidP="00C81216">
      <w:pPr>
        <w:jc w:val="both"/>
        <w:rPr>
          <w:rFonts w:cs="Times New Roman"/>
          <w:b/>
          <w:szCs w:val="24"/>
          <w:u w:val="single"/>
        </w:rPr>
      </w:pPr>
      <w:r w:rsidRPr="00C81216">
        <w:rPr>
          <w:rFonts w:cs="Times New Roman"/>
          <w:b/>
          <w:szCs w:val="24"/>
          <w:u w:val="single"/>
        </w:rPr>
        <w:t>Možné dotazy</w:t>
      </w:r>
    </w:p>
    <w:p w:rsidR="00C81216" w:rsidRPr="005608A0" w:rsidRDefault="00C81216" w:rsidP="00C81216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ind w:left="284" w:hanging="284"/>
        <w:jc w:val="both"/>
        <w:rPr>
          <w:rFonts w:eastAsia="Times New Roman"/>
          <w:color w:val="000000"/>
          <w:u w:val="single"/>
        </w:rPr>
      </w:pPr>
      <w:r w:rsidRPr="00C81216">
        <w:rPr>
          <w:u w:val="single"/>
        </w:rPr>
        <w:t>Problematika vývozu, dovoz</w:t>
      </w:r>
      <w:r w:rsidR="005608A0">
        <w:rPr>
          <w:u w:val="single"/>
        </w:rPr>
        <w:t xml:space="preserve">u a navracení kulturních </w:t>
      </w:r>
      <w:r w:rsidR="005608A0" w:rsidRPr="005608A0">
        <w:rPr>
          <w:u w:val="single"/>
        </w:rPr>
        <w:t>statků</w:t>
      </w:r>
      <w:r w:rsidR="005608A0" w:rsidRPr="005608A0">
        <w:rPr>
          <w:rFonts w:eastAsia="Times New Roman"/>
          <w:b/>
          <w:color w:val="000000"/>
          <w:u w:val="single"/>
        </w:rPr>
        <w:t xml:space="preserve"> </w:t>
      </w:r>
      <w:r w:rsidR="005608A0" w:rsidRPr="005608A0">
        <w:rPr>
          <w:rFonts w:eastAsia="Times New Roman"/>
          <w:color w:val="000000"/>
          <w:u w:val="single"/>
        </w:rPr>
        <w:t>- Obchod se zbožím (Title I)</w:t>
      </w:r>
    </w:p>
    <w:p w:rsidR="00C81216" w:rsidRPr="00C81216" w:rsidRDefault="00C81216" w:rsidP="00C81216">
      <w:pPr>
        <w:jc w:val="both"/>
        <w:rPr>
          <w:b/>
          <w:bCs/>
          <w:i/>
          <w:iCs/>
        </w:rPr>
      </w:pPr>
      <w:r w:rsidRPr="00C81216">
        <w:t>Většina dotazů, se kterými se na nás právnické i fyzické osoby obrací, lze shrnout do věty „Co potřebuji k vývozu konkrétní věci do určité země?“  V</w:t>
      </w:r>
      <w:r>
        <w:t xml:space="preserve"> </w:t>
      </w:r>
      <w:r w:rsidRPr="00C81216">
        <w:t>případě dovozů a vývozů  vždy záleží na tom, o jakou kategorii kulturního statku se jedná</w:t>
      </w:r>
      <w:r w:rsidRPr="00C81216">
        <w:rPr>
          <w:i/>
          <w:iCs/>
        </w:rPr>
        <w:t xml:space="preserve">. </w:t>
      </w:r>
      <w:r w:rsidRPr="00C81216">
        <w:t>Vývozní povolení mimo EU podle EU legislativy nelze vystavit bez tzv. řídícího dokumentu, kterým je vývozní povolení  nebo osvědčení podle českých zákonů (Zákon č. 20/1987 Sb., o státní památkové péči, Zákon č. 122/2000 Sb., o ochraně sbírek muzejní povahy, Zákon č. 499/2004 Sb., o archivnictví a spisové službě, Zákon č. 71/1994 Sb., o prodeji a vývozu předmětů kulturní hodnoty).</w:t>
      </w:r>
      <w:r w:rsidRPr="00C81216">
        <w:rPr>
          <w:i/>
          <w:iCs/>
        </w:rPr>
        <w:t xml:space="preserve"> </w:t>
      </w:r>
    </w:p>
    <w:p w:rsidR="00C81216" w:rsidRPr="00C81216" w:rsidRDefault="00C81216" w:rsidP="00C81216">
      <w:pPr>
        <w:jc w:val="both"/>
        <w:rPr>
          <w:i/>
          <w:iCs/>
        </w:rPr>
      </w:pPr>
      <w:r w:rsidRPr="00C81216">
        <w:rPr>
          <w:b/>
          <w:bCs/>
          <w:i/>
          <w:iCs/>
        </w:rPr>
        <w:t>UK se stává pro vývoz i dovoz kulturních statků třetí zemí, takže přeshraniční pohyb kulturních statků mezi celním územím EU a  UK reguluje nejen česká, ale i evropská legislativa. V případě pochybností doporučuj</w:t>
      </w:r>
      <w:r w:rsidR="00296FE4">
        <w:rPr>
          <w:b/>
          <w:bCs/>
          <w:i/>
          <w:iCs/>
        </w:rPr>
        <w:t xml:space="preserve">eme konzultovat  tuto věc s MK - </w:t>
      </w:r>
      <w:r w:rsidRPr="00C81216">
        <w:rPr>
          <w:b/>
          <w:bCs/>
          <w:i/>
          <w:iCs/>
        </w:rPr>
        <w:t>samostatné oddělení ochrany kulturních statků</w:t>
      </w:r>
      <w:r w:rsidR="00296FE4">
        <w:rPr>
          <w:b/>
          <w:bCs/>
          <w:i/>
          <w:iCs/>
        </w:rPr>
        <w:t>.</w:t>
      </w:r>
      <w:r w:rsidRPr="00C81216">
        <w:rPr>
          <w:i/>
          <w:iCs/>
        </w:rPr>
        <w:t xml:space="preserve"> </w:t>
      </w:r>
    </w:p>
    <w:p w:rsidR="00C81216" w:rsidRPr="00C81216" w:rsidRDefault="00C81216" w:rsidP="00C81216">
      <w:pPr>
        <w:jc w:val="both"/>
      </w:pPr>
      <w:r w:rsidRPr="00C81216">
        <w:t xml:space="preserve">Případný </w:t>
      </w:r>
      <w:r w:rsidRPr="005608A0">
        <w:rPr>
          <w:b/>
        </w:rPr>
        <w:t>dotaz</w:t>
      </w:r>
      <w:r w:rsidRPr="00C81216">
        <w:t xml:space="preserve"> by tedy mohl znít: „</w:t>
      </w:r>
      <w:r w:rsidRPr="00C81216">
        <w:rPr>
          <w:u w:val="single"/>
        </w:rPr>
        <w:t>Co potřebuji pro vývoz kulturního statku (např. uměleckého díla / starožitnosti /historického vozidla apod.) do UK?</w:t>
      </w:r>
      <w:r w:rsidRPr="00C81216">
        <w:t>“  </w:t>
      </w:r>
    </w:p>
    <w:p w:rsidR="00C81216" w:rsidRPr="005608A0" w:rsidRDefault="00C81216" w:rsidP="0059126A">
      <w:pPr>
        <w:jc w:val="both"/>
      </w:pPr>
      <w:r w:rsidRPr="005608A0">
        <w:rPr>
          <w:b/>
        </w:rPr>
        <w:t>Odpověď</w:t>
      </w:r>
      <w:r w:rsidRPr="00C81216">
        <w:t>: „</w:t>
      </w:r>
      <w:r w:rsidRPr="00C81216">
        <w:rPr>
          <w:u w:val="single"/>
        </w:rPr>
        <w:t>Přeshraniční pohyb  kulturních statků mezi EU a UK reguluje česká legislativa</w:t>
      </w:r>
      <w:r w:rsidRPr="00C81216">
        <w:t xml:space="preserve"> (Zákon č. 20/1987 Sb., o státní památkové péči, Zákon č. 122/2000 Sb., o ochraně sbírek muzejní povahy, Zákon č. 499/2004 Sb., o archivnictví a spisové službě, Zákon č. 71/1994 Sb., o prodeji a vývozu předmětů kulturní hodnoty),  </w:t>
      </w:r>
      <w:r w:rsidRPr="00C81216">
        <w:rPr>
          <w:u w:val="single"/>
        </w:rPr>
        <w:t xml:space="preserve">i evropská legislativa </w:t>
      </w:r>
      <w:r w:rsidRPr="00C81216">
        <w:t xml:space="preserve">(zákon č. 214/2002 Sb., o vývozu některých kulturních statků z celního území Evropských společenství, ve znění pozdějších předpisů (Nařízení Rady (EHS) č. 3911/92 ze dne 9. prosince 1992 o vývozu kulturních statků a Nařízení Komise (EHS) č. 752/93 ze dne 30. března 1993, které stanoví způsob provádění nařízení Rady (EHS) č. 3911/92 o vývozu kulturních statků; resp. Nařízení Rady (ES) č. 116/2009 ze dne 18. prosince 2008 o vývozu kulturních statků a Prováděcí nařízení Komise (EU) č. 1081/2012 ze dne 9. listopadu 2012 k nařízení Rady (ES) č. 116/2009 o vývozu kulturních statků; zákona č. 214/2002 Sb., o vývozu některých kulturních statků z celního území Evropských společenství, ve znění pozdějších předpisů (Nařízení Rady (EHS) č. 3911/92 ze dne 9. prosince 1992 o vývozu kulturních statků a Nařízení Komise (EHS) č. 752/93 ze dne 30. března 1993, které stanoví způsob provádění nařízení Rady (EHS) č. 3911/92 o vývozu kulturních statků; resp. Nařízení Rady (ES) č. 116/2009 ze dne 18. prosince 2008 o vývozu kulturních statků a Prováděcí nařízení Komise (EU) č. 1081/2012 ze dne 9. listopadu 2012 k nařízení Rady (ES) č. 116/2009 o vývozu kulturních statků), </w:t>
      </w:r>
      <w:r w:rsidRPr="00C81216">
        <w:rPr>
          <w:u w:val="single"/>
        </w:rPr>
        <w:t>podstatné je zda konkrétní předmět spadá pod některou z kategorií v českých a evropských zákonech u</w:t>
      </w:r>
      <w:r w:rsidR="005608A0">
        <w:rPr>
          <w:u w:val="single"/>
        </w:rPr>
        <w:t>vedenou</w:t>
      </w:r>
    </w:p>
    <w:p w:rsidR="0017742C" w:rsidRPr="0006153A" w:rsidRDefault="0017742C" w:rsidP="0006153A">
      <w:pPr>
        <w:rPr>
          <w:rFonts w:cs="Times New Roman"/>
          <w:b/>
          <w:szCs w:val="24"/>
        </w:rPr>
      </w:pPr>
      <w:r w:rsidRPr="0006153A">
        <w:rPr>
          <w:rFonts w:cs="Times New Roman"/>
          <w:b/>
          <w:szCs w:val="24"/>
        </w:rPr>
        <w:t>Důležité odkazy:</w:t>
      </w:r>
    </w:p>
    <w:p w:rsidR="00EF234A" w:rsidRPr="009C703F" w:rsidRDefault="0017742C" w:rsidP="00C673F0">
      <w:pPr>
        <w:rPr>
          <w:rFonts w:cs="Times New Roman"/>
          <w:color w:val="4F81BD" w:themeColor="accent1"/>
          <w:szCs w:val="24"/>
        </w:rPr>
      </w:pPr>
      <w:r w:rsidRPr="0006153A">
        <w:rPr>
          <w:rFonts w:cs="Times New Roman"/>
          <w:szCs w:val="24"/>
        </w:rPr>
        <w:t>Nadrezortní webové stránky k brexitu (Brexitinfo)</w:t>
      </w:r>
      <w:r w:rsidRPr="0006153A">
        <w:rPr>
          <w:rFonts w:cs="Times New Roman"/>
          <w:szCs w:val="24"/>
        </w:rPr>
        <w:br/>
      </w:r>
      <w:hyperlink r:id="rId9" w:history="1">
        <w:r w:rsidRPr="0006153A">
          <w:rPr>
            <w:rStyle w:val="Hypertextovodkaz"/>
            <w:rFonts w:cs="Times New Roman"/>
            <w:szCs w:val="24"/>
          </w:rPr>
          <w:t>https://www.brexitinfo.cz</w:t>
        </w:r>
      </w:hyperlink>
      <w:r w:rsidRPr="0006153A">
        <w:rPr>
          <w:rFonts w:cs="Times New Roman"/>
          <w:szCs w:val="24"/>
        </w:rPr>
        <w:br/>
        <w:t> </w:t>
      </w:r>
      <w:r w:rsidRPr="0006153A">
        <w:rPr>
          <w:rFonts w:cs="Times New Roman"/>
          <w:szCs w:val="24"/>
        </w:rPr>
        <w:br/>
      </w:r>
    </w:p>
    <w:sectPr w:rsidR="00EF234A" w:rsidRPr="009C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54" w:rsidRDefault="00C96F54" w:rsidP="00436B2D">
      <w:pPr>
        <w:spacing w:after="0" w:line="240" w:lineRule="auto"/>
      </w:pPr>
      <w:r>
        <w:separator/>
      </w:r>
    </w:p>
  </w:endnote>
  <w:endnote w:type="continuationSeparator" w:id="0">
    <w:p w:rsidR="00C96F54" w:rsidRDefault="00C96F54" w:rsidP="0043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54" w:rsidRDefault="00C96F54" w:rsidP="00436B2D">
      <w:pPr>
        <w:spacing w:after="0" w:line="240" w:lineRule="auto"/>
      </w:pPr>
      <w:r>
        <w:separator/>
      </w:r>
    </w:p>
  </w:footnote>
  <w:footnote w:type="continuationSeparator" w:id="0">
    <w:p w:rsidR="00C96F54" w:rsidRDefault="00C96F54" w:rsidP="00436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1BEF"/>
    <w:multiLevelType w:val="hybridMultilevel"/>
    <w:tmpl w:val="312A6D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545AC"/>
    <w:multiLevelType w:val="multilevel"/>
    <w:tmpl w:val="1A7E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55C28"/>
    <w:multiLevelType w:val="multilevel"/>
    <w:tmpl w:val="5920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34F5A"/>
    <w:multiLevelType w:val="hybridMultilevel"/>
    <w:tmpl w:val="5640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6752E"/>
    <w:multiLevelType w:val="multilevel"/>
    <w:tmpl w:val="715C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294182"/>
    <w:multiLevelType w:val="hybridMultilevel"/>
    <w:tmpl w:val="163EA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59"/>
    <w:rsid w:val="0006153A"/>
    <w:rsid w:val="000E6089"/>
    <w:rsid w:val="00121D3E"/>
    <w:rsid w:val="00126476"/>
    <w:rsid w:val="0017742C"/>
    <w:rsid w:val="002156B9"/>
    <w:rsid w:val="002205FC"/>
    <w:rsid w:val="00264C1F"/>
    <w:rsid w:val="00296FE4"/>
    <w:rsid w:val="002B6BB2"/>
    <w:rsid w:val="002C3A1B"/>
    <w:rsid w:val="0031015C"/>
    <w:rsid w:val="003C2CB6"/>
    <w:rsid w:val="003C5EC9"/>
    <w:rsid w:val="003D1F8F"/>
    <w:rsid w:val="00436B2D"/>
    <w:rsid w:val="00442A63"/>
    <w:rsid w:val="00461CF3"/>
    <w:rsid w:val="004B72D3"/>
    <w:rsid w:val="00532F8B"/>
    <w:rsid w:val="005608A0"/>
    <w:rsid w:val="00563C06"/>
    <w:rsid w:val="005748A0"/>
    <w:rsid w:val="0059126A"/>
    <w:rsid w:val="00594CCF"/>
    <w:rsid w:val="0063099F"/>
    <w:rsid w:val="006A0F2E"/>
    <w:rsid w:val="007169A0"/>
    <w:rsid w:val="007829F2"/>
    <w:rsid w:val="007F5357"/>
    <w:rsid w:val="008165DB"/>
    <w:rsid w:val="008549A2"/>
    <w:rsid w:val="00887B5F"/>
    <w:rsid w:val="008A786E"/>
    <w:rsid w:val="00907C5E"/>
    <w:rsid w:val="009B6978"/>
    <w:rsid w:val="009C64FB"/>
    <w:rsid w:val="009C703F"/>
    <w:rsid w:val="009E418D"/>
    <w:rsid w:val="00A13375"/>
    <w:rsid w:val="00A96D16"/>
    <w:rsid w:val="00AD38F4"/>
    <w:rsid w:val="00AF3E66"/>
    <w:rsid w:val="00C033D9"/>
    <w:rsid w:val="00C205B0"/>
    <w:rsid w:val="00C22572"/>
    <w:rsid w:val="00C23547"/>
    <w:rsid w:val="00C673F0"/>
    <w:rsid w:val="00C81216"/>
    <w:rsid w:val="00C96F54"/>
    <w:rsid w:val="00CA3F87"/>
    <w:rsid w:val="00D133A2"/>
    <w:rsid w:val="00D35F6E"/>
    <w:rsid w:val="00D87159"/>
    <w:rsid w:val="00DD5D19"/>
    <w:rsid w:val="00E309B9"/>
    <w:rsid w:val="00E7326A"/>
    <w:rsid w:val="00E86753"/>
    <w:rsid w:val="00EA7EBC"/>
    <w:rsid w:val="00EC4A75"/>
    <w:rsid w:val="00EF234A"/>
    <w:rsid w:val="00F27D7D"/>
    <w:rsid w:val="00F41192"/>
    <w:rsid w:val="00F7453D"/>
    <w:rsid w:val="00F9306A"/>
    <w:rsid w:val="00FC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B72D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4CC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94CC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C3A1B"/>
    <w:pPr>
      <w:spacing w:after="0" w:line="240" w:lineRule="auto"/>
      <w:ind w:left="720"/>
    </w:pPr>
    <w:rPr>
      <w:rFonts w:cs="Times New Roman"/>
      <w:szCs w:val="24"/>
      <w:lang w:eastAsia="cs-CZ"/>
    </w:rPr>
  </w:style>
  <w:style w:type="paragraph" w:customStyle="1" w:styleId="Default">
    <w:name w:val="Default"/>
    <w:rsid w:val="00C033D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B72D3"/>
    <w:rPr>
      <w:rFonts w:eastAsia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4B72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72D3"/>
    <w:rPr>
      <w:b/>
      <w:bCs/>
    </w:rPr>
  </w:style>
  <w:style w:type="character" w:styleId="Zvraznn">
    <w:name w:val="Emphasis"/>
    <w:basedOn w:val="Standardnpsmoodstavce"/>
    <w:uiPriority w:val="20"/>
    <w:qFormat/>
    <w:rsid w:val="004B72D3"/>
    <w:rPr>
      <w:i/>
      <w:iCs/>
    </w:rPr>
  </w:style>
  <w:style w:type="paragraph" w:styleId="Bezmezer">
    <w:name w:val="No Spacing"/>
    <w:uiPriority w:val="1"/>
    <w:qFormat/>
    <w:rsid w:val="005748A0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paragraph">
    <w:name w:val="paragraph"/>
    <w:basedOn w:val="Normln"/>
    <w:rsid w:val="005748A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TextpoznpodarouChar">
    <w:name w:val="Text pozn. pod čarou Char"/>
    <w:aliases w:val="Footnote Char,fn Char,Footnote Text Char1 Char,Footnote Text Char Char Char1,FOOTNOTES Char,single space Char,Fußnotentext Char Char,Fußnote Char,Footnote Text Char Char1 Char,Footnote Text Char Char Char Char,fn Char Char Char"/>
    <w:basedOn w:val="Standardnpsmoodstavce"/>
    <w:link w:val="Textpoznpodarou"/>
    <w:uiPriority w:val="99"/>
    <w:locked/>
    <w:rsid w:val="00436B2D"/>
    <w:rPr>
      <w:rFonts w:eastAsiaTheme="minorEastAsia" w:cs="Times New Roman"/>
      <w:sz w:val="20"/>
      <w:szCs w:val="20"/>
    </w:rPr>
  </w:style>
  <w:style w:type="paragraph" w:styleId="Textpoznpodarou">
    <w:name w:val="footnote text"/>
    <w:aliases w:val="Footnote,fn,Footnote Text Char1,Footnote Text Char Char,FOOTNOTES,single space,Fußnotentext Char,Fußnote,Footnote Text Char Char1,Footnote Text Char Char Char,FOOTNOTES Char Char,fn Char Char,single space Char Char,footnote text,Plo"/>
    <w:basedOn w:val="Normln"/>
    <w:link w:val="TextpoznpodarouChar"/>
    <w:uiPriority w:val="99"/>
    <w:unhideWhenUsed/>
    <w:qFormat/>
    <w:rsid w:val="00436B2D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436B2D"/>
    <w:rPr>
      <w:sz w:val="20"/>
      <w:szCs w:val="20"/>
    </w:rPr>
  </w:style>
  <w:style w:type="character" w:styleId="Znakapoznpodarou">
    <w:name w:val="footnote reference"/>
    <w:aliases w:val="Footnote Reference Superscript,BVI fnr,Footnote symbol,Nota,Appel note de bas de p,SUPERS,Footnotemark,FR,Footnotemark1,Footnotemark2,FR1,Footnotemark3,FR2,Footnotemark4,FR3,Footnotemark5,FR4,Footnotemark6,Footnotemark7,FR5,FR11,R"/>
    <w:basedOn w:val="Standardnpsmoodstavce"/>
    <w:link w:val="FootnotesymbolCarZchn"/>
    <w:uiPriority w:val="99"/>
    <w:unhideWhenUsed/>
    <w:qFormat/>
    <w:rsid w:val="00436B2D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436B2D"/>
    <w:pPr>
      <w:spacing w:after="160" w:line="240" w:lineRule="exact"/>
      <w:jc w:val="both"/>
    </w:pPr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B72D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4CC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94CC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C3A1B"/>
    <w:pPr>
      <w:spacing w:after="0" w:line="240" w:lineRule="auto"/>
      <w:ind w:left="720"/>
    </w:pPr>
    <w:rPr>
      <w:rFonts w:cs="Times New Roman"/>
      <w:szCs w:val="24"/>
      <w:lang w:eastAsia="cs-CZ"/>
    </w:rPr>
  </w:style>
  <w:style w:type="paragraph" w:customStyle="1" w:styleId="Default">
    <w:name w:val="Default"/>
    <w:rsid w:val="00C033D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B72D3"/>
    <w:rPr>
      <w:rFonts w:eastAsia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4B72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72D3"/>
    <w:rPr>
      <w:b/>
      <w:bCs/>
    </w:rPr>
  </w:style>
  <w:style w:type="character" w:styleId="Zvraznn">
    <w:name w:val="Emphasis"/>
    <w:basedOn w:val="Standardnpsmoodstavce"/>
    <w:uiPriority w:val="20"/>
    <w:qFormat/>
    <w:rsid w:val="004B72D3"/>
    <w:rPr>
      <w:i/>
      <w:iCs/>
    </w:rPr>
  </w:style>
  <w:style w:type="paragraph" w:styleId="Bezmezer">
    <w:name w:val="No Spacing"/>
    <w:uiPriority w:val="1"/>
    <w:qFormat/>
    <w:rsid w:val="005748A0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paragraph">
    <w:name w:val="paragraph"/>
    <w:basedOn w:val="Normln"/>
    <w:rsid w:val="005748A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TextpoznpodarouChar">
    <w:name w:val="Text pozn. pod čarou Char"/>
    <w:aliases w:val="Footnote Char,fn Char,Footnote Text Char1 Char,Footnote Text Char Char Char1,FOOTNOTES Char,single space Char,Fußnotentext Char Char,Fußnote Char,Footnote Text Char Char1 Char,Footnote Text Char Char Char Char,fn Char Char Char"/>
    <w:basedOn w:val="Standardnpsmoodstavce"/>
    <w:link w:val="Textpoznpodarou"/>
    <w:uiPriority w:val="99"/>
    <w:locked/>
    <w:rsid w:val="00436B2D"/>
    <w:rPr>
      <w:rFonts w:eastAsiaTheme="minorEastAsia" w:cs="Times New Roman"/>
      <w:sz w:val="20"/>
      <w:szCs w:val="20"/>
    </w:rPr>
  </w:style>
  <w:style w:type="paragraph" w:styleId="Textpoznpodarou">
    <w:name w:val="footnote text"/>
    <w:aliases w:val="Footnote,fn,Footnote Text Char1,Footnote Text Char Char,FOOTNOTES,single space,Fußnotentext Char,Fußnote,Footnote Text Char Char1,Footnote Text Char Char Char,FOOTNOTES Char Char,fn Char Char,single space Char Char,footnote text,Plo"/>
    <w:basedOn w:val="Normln"/>
    <w:link w:val="TextpoznpodarouChar"/>
    <w:uiPriority w:val="99"/>
    <w:unhideWhenUsed/>
    <w:qFormat/>
    <w:rsid w:val="00436B2D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436B2D"/>
    <w:rPr>
      <w:sz w:val="20"/>
      <w:szCs w:val="20"/>
    </w:rPr>
  </w:style>
  <w:style w:type="character" w:styleId="Znakapoznpodarou">
    <w:name w:val="footnote reference"/>
    <w:aliases w:val="Footnote Reference Superscript,BVI fnr,Footnote symbol,Nota,Appel note de bas de p,SUPERS,Footnotemark,FR,Footnotemark1,Footnotemark2,FR1,Footnotemark3,FR2,Footnotemark4,FR3,Footnotemark5,FR4,Footnotemark6,Footnotemark7,FR5,FR11,R"/>
    <w:basedOn w:val="Standardnpsmoodstavce"/>
    <w:link w:val="FootnotesymbolCarZchn"/>
    <w:uiPriority w:val="99"/>
    <w:unhideWhenUsed/>
    <w:qFormat/>
    <w:rsid w:val="00436B2D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436B2D"/>
    <w:pPr>
      <w:spacing w:after="160" w:line="240" w:lineRule="exact"/>
      <w:jc w:val="both"/>
    </w:pPr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2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185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6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91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8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70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09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45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27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1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60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42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605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835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039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50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282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1" w:color="D4D4D4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810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1" w:color="D4D4D4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4266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936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1" w:color="D4D4D4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68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1" w:color="D4D4D4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941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896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1" w:color="D4D4D4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585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1" w:color="D4D4D4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518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40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90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47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30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74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797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951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rexitinfo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23FB-10E7-4223-8444-322C3855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1926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2021-01-04T11:07:00Z</cp:lastPrinted>
  <dcterms:created xsi:type="dcterms:W3CDTF">2021-01-04T08:29:00Z</dcterms:created>
  <dcterms:modified xsi:type="dcterms:W3CDTF">2021-01-11T12:17:00Z</dcterms:modified>
</cp:coreProperties>
</file>