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1B" w:rsidRPr="00347C5C" w:rsidRDefault="00A86B16" w:rsidP="00A83EF2">
      <w:pPr>
        <w:pStyle w:val="Nadpis2"/>
      </w:pPr>
      <w:bookmarkStart w:id="0" w:name="_Toc391984044"/>
      <w:bookmarkStart w:id="1" w:name="_Toc401223079"/>
      <w:r>
        <w:t>Dokazování</w:t>
      </w:r>
      <w:bookmarkEnd w:id="0"/>
      <w:r w:rsidR="00153B1B">
        <w:t xml:space="preserve"> </w:t>
      </w:r>
      <w:bookmarkEnd w:id="1"/>
    </w:p>
    <w:p w:rsidR="00A86B16" w:rsidRPr="0093100B" w:rsidRDefault="00A86B16" w:rsidP="00A86B16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93100B">
        <w:t xml:space="preserve">V řízení o správním deliktu </w:t>
      </w:r>
      <w:bookmarkStart w:id="2" w:name="_GoBack"/>
      <w:bookmarkEnd w:id="2"/>
      <w:r w:rsidRPr="0093100B">
        <w:t xml:space="preserve">vedeném podle § 35 odst. 2 písm. f) zákona o státní památkové péči ve věci nesplnění oznamovací povinnosti vůči Archeologickému ústavu Akademie věd ČR při provádění těžby a přibližování dřeva na území s archeologickými nálezy účastník řízení na svoji obhajobu uváděl, že poškození mohyl ze střední doby bronzové a jejich okolí nedosáhlo takového stupně, jaký je uváděn v podnětu Muzea </w:t>
      </w:r>
      <w:proofErr w:type="gramStart"/>
      <w:r w:rsidR="00B53B20">
        <w:t>C.H</w:t>
      </w:r>
      <w:r w:rsidRPr="0093100B">
        <w:t>.</w:t>
      </w:r>
      <w:proofErr w:type="gramEnd"/>
      <w:r w:rsidRPr="0093100B">
        <w:t xml:space="preserve"> Dle jeho tvrzení byly koleje vzniklé projížděním těžební techniky méně hluboké, zasahovaly jen do nejsvrchnější organické vrstvy půdy a jejich hloubka byla opticky zvětšena „odvaleným a do bočního úzkého, ale vysokého límce vytlačeným materiálem“. Rozsah poškození archeologického dědictví je přitěžující nebo naopak polehčující okolností, která má mít vliv na určení výše sankce. </w:t>
      </w:r>
    </w:p>
    <w:p w:rsidR="008B6CFB" w:rsidRDefault="00A86B16" w:rsidP="00A86B16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93100B">
        <w:t xml:space="preserve">Krajský úřad v rozhodnutí výše uvedené vyjádření účastníka ocitoval, aniž by zjišťoval stav věci podle § 3 správního řádu. V odůvodnění rozhodnutí nejsou v rozporu s § 68 odst. 3 správního řádu uvedeny úvahy, kterými se správní orgán řídil při jejich hodnocení a při výkladu právních předpisů, a informace o tom, jak se správní orgán vypořádal s návrhy a námitkami účastníků a s jejich vyjádřením k podkladům rozhodnutí tj. v jakém rozsahu a míry došlo k rozježdění mohyl a jejich okolí a jaké následky mívá pohyb těžké techniky pro archeologické nálezy z podobných archeologických situací. </w:t>
      </w:r>
    </w:p>
    <w:sectPr w:rsidR="008B6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A7A1D"/>
    <w:multiLevelType w:val="multilevel"/>
    <w:tmpl w:val="35E855B6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1B"/>
    <w:rsid w:val="00153B1B"/>
    <w:rsid w:val="003723DF"/>
    <w:rsid w:val="008B6CFB"/>
    <w:rsid w:val="008C4E87"/>
    <w:rsid w:val="00A83EF2"/>
    <w:rsid w:val="00A86B16"/>
    <w:rsid w:val="00B53B20"/>
    <w:rsid w:val="00B7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153B1B"/>
    <w:pPr>
      <w:keepNext/>
      <w:numPr>
        <w:numId w:val="1"/>
      </w:numPr>
      <w:tabs>
        <w:tab w:val="left" w:pos="284"/>
      </w:tabs>
      <w:spacing w:before="480" w:after="300"/>
      <w:jc w:val="both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autoRedefine/>
    <w:qFormat/>
    <w:rsid w:val="00A83EF2"/>
    <w:pPr>
      <w:keepNext/>
      <w:spacing w:before="240" w:after="120"/>
      <w:ind w:left="36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53B1B"/>
    <w:rPr>
      <w:rFonts w:ascii="Times New Roman" w:eastAsia="Times New Roman" w:hAnsi="Times New Roman" w:cs="Arial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83EF2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uiPriority w:val="99"/>
    <w:rsid w:val="00153B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153B1B"/>
    <w:pPr>
      <w:keepNext/>
      <w:numPr>
        <w:numId w:val="1"/>
      </w:numPr>
      <w:tabs>
        <w:tab w:val="left" w:pos="284"/>
      </w:tabs>
      <w:spacing w:before="480" w:after="300"/>
      <w:jc w:val="both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autoRedefine/>
    <w:qFormat/>
    <w:rsid w:val="00A83EF2"/>
    <w:pPr>
      <w:keepNext/>
      <w:spacing w:before="240" w:after="120"/>
      <w:ind w:left="36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53B1B"/>
    <w:rPr>
      <w:rFonts w:ascii="Times New Roman" w:eastAsia="Times New Roman" w:hAnsi="Times New Roman" w:cs="Arial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83EF2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uiPriority w:val="99"/>
    <w:rsid w:val="00153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Tupy</dc:creator>
  <cp:lastModifiedBy>Michal Tupý</cp:lastModifiedBy>
  <cp:revision>3</cp:revision>
  <dcterms:created xsi:type="dcterms:W3CDTF">2016-12-15T14:38:00Z</dcterms:created>
  <dcterms:modified xsi:type="dcterms:W3CDTF">2017-07-26T06:11:00Z</dcterms:modified>
</cp:coreProperties>
</file>