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45" w:rsidRPr="00BC6735" w:rsidRDefault="003E6545" w:rsidP="003E6545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45"/>
      <w:bookmarkStart w:id="1" w:name="_Toc401223744"/>
      <w:r w:rsidRPr="00BC6735">
        <w:rPr>
          <w:b/>
        </w:rPr>
        <w:t xml:space="preserve">Rozsudek Krajského soudu v Ústí nad Labem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59 Ca 59/2002 – 35 z 24</w:t>
      </w:r>
      <w:r>
        <w:rPr>
          <w:b/>
        </w:rPr>
        <w:t xml:space="preserve">. </w:t>
      </w:r>
      <w:r w:rsidRPr="00BC6735">
        <w:rPr>
          <w:b/>
        </w:rPr>
        <w:t>9</w:t>
      </w:r>
      <w:r>
        <w:rPr>
          <w:b/>
        </w:rPr>
        <w:t xml:space="preserve">. </w:t>
      </w:r>
      <w:r w:rsidRPr="00BC6735">
        <w:rPr>
          <w:b/>
        </w:rPr>
        <w:t>2002 (D009)</w:t>
      </w:r>
      <w:bookmarkEnd w:id="0"/>
      <w:bookmarkEnd w:id="1"/>
      <w:r w:rsidRPr="00BC6735">
        <w:rPr>
          <w:b/>
        </w:rPr>
        <w:t xml:space="preserve"> </w:t>
      </w:r>
    </w:p>
    <w:p w:rsidR="003E6545" w:rsidRPr="008D440C" w:rsidRDefault="003E6545" w:rsidP="003E6545">
      <w:pPr>
        <w:ind w:firstLine="708"/>
        <w:jc w:val="both"/>
      </w:pPr>
      <w:r w:rsidRPr="008D440C">
        <w:t>V řízení tak bylo zjištěno, že kostel sv</w:t>
      </w:r>
      <w:r>
        <w:t xml:space="preserve">. </w:t>
      </w:r>
      <w:r w:rsidRPr="008D440C">
        <w:t>Václava jako kulturní památka byl předmětnou přístavbou k sakristii významně poškozen, žalobkyně jako vlastník kulturní památky porušila svou zákonnou povinnost chránit kulturní památku před tímto poškozením, které bylo způsobeno jednáním F</w:t>
      </w:r>
      <w:r>
        <w:t xml:space="preserve">. </w:t>
      </w:r>
      <w:r w:rsidRPr="008D440C">
        <w:t>K</w:t>
      </w:r>
      <w:r>
        <w:t>.,</w:t>
      </w:r>
      <w:r w:rsidRPr="008D440C">
        <w:t xml:space="preserve"> jež přístavbu realizoval</w:t>
      </w:r>
      <w:r>
        <w:t xml:space="preserve">. </w:t>
      </w:r>
      <w:r w:rsidRPr="008D440C">
        <w:t>Správní orgány neporušily zákon, pokud pokutu za porušení povinnosti vlastníka kulturní památky dle § 9 odst</w:t>
      </w:r>
      <w:r>
        <w:t xml:space="preserve">. </w:t>
      </w:r>
      <w:r w:rsidRPr="008D440C">
        <w:t>1 zákona o státní památkové péči uložily žalobkyni, neboť právě ona je vlastníkem kulturní památky a bylo její povinností tuto památku chránit před poškozením a znehodnocením</w:t>
      </w:r>
      <w:r>
        <w:t xml:space="preserve">. </w:t>
      </w:r>
      <w:r w:rsidRPr="008D440C">
        <w:t>Prohlášení F</w:t>
      </w:r>
      <w:r>
        <w:t xml:space="preserve">. </w:t>
      </w:r>
      <w:r w:rsidRPr="008D440C">
        <w:t>K</w:t>
      </w:r>
      <w:r>
        <w:t xml:space="preserve">. </w:t>
      </w:r>
      <w:r w:rsidRPr="008D440C">
        <w:t>o tom, že přístavbu realizoval a financoval jako soukromá fyzická osoba, nemůže žalobkyni jako vlastníka kulturní památky zbavit odpovědnosti za porušení povinnosti dle § 9 odst</w:t>
      </w:r>
      <w:r>
        <w:t xml:space="preserve">. </w:t>
      </w:r>
      <w:r w:rsidRPr="008D440C">
        <w:t>1 zákona o státní památkové péči</w:t>
      </w:r>
      <w:r>
        <w:t xml:space="preserve">. </w:t>
      </w:r>
    </w:p>
    <w:p w:rsidR="003E6545" w:rsidRPr="008D440C" w:rsidRDefault="003E6545" w:rsidP="003E6545">
      <w:pPr>
        <w:ind w:firstLine="708"/>
        <w:jc w:val="both"/>
      </w:pPr>
      <w:r w:rsidRPr="008D440C">
        <w:t>Soud nad rámec právního zdůvodnění k námitkám žalobkyně, týkajících se přednosti záchrany chátrajícího kostela sv</w:t>
      </w:r>
      <w:r>
        <w:t xml:space="preserve">. </w:t>
      </w:r>
      <w:r w:rsidRPr="008D440C">
        <w:t>Václava pro potřeby farníků a dalších generací</w:t>
      </w:r>
      <w:r>
        <w:t xml:space="preserve"> </w:t>
      </w:r>
      <w:r w:rsidRPr="008D440C">
        <w:t>a</w:t>
      </w:r>
      <w:r>
        <w:t> </w:t>
      </w:r>
      <w:r w:rsidRPr="008D440C">
        <w:t>prospěšnosti přístavby k sakristii kostela, uvádí následující</w:t>
      </w:r>
      <w:r>
        <w:t xml:space="preserve">. </w:t>
      </w:r>
      <w:r w:rsidRPr="008D440C">
        <w:t>Jak bylo v řízení prokázáno, vlastníkem kostela sv</w:t>
      </w:r>
      <w:r>
        <w:t xml:space="preserve">. </w:t>
      </w:r>
      <w:r w:rsidRPr="008D440C">
        <w:t>Václava v R</w:t>
      </w:r>
      <w:r>
        <w:t xml:space="preserve">. </w:t>
      </w:r>
      <w:r w:rsidRPr="008D440C">
        <w:t>jako registrované kulturní památky je žalobkyně</w:t>
      </w:r>
      <w:r>
        <w:t xml:space="preserve">. </w:t>
      </w:r>
      <w:r w:rsidRPr="008D440C">
        <w:t>Ta má jako vlastník nejen práva, ale také povinnosti z vlastnictví plynoucí, neboť jak vyplývá z</w:t>
      </w:r>
      <w:r>
        <w:t> </w:t>
      </w:r>
      <w:r w:rsidRPr="008D440C">
        <w:t>Čl</w:t>
      </w:r>
      <w:r>
        <w:t>. </w:t>
      </w:r>
      <w:r w:rsidRPr="008D440C">
        <w:t>11 odst</w:t>
      </w:r>
      <w:r>
        <w:t xml:space="preserve">. </w:t>
      </w:r>
      <w:r w:rsidRPr="008D440C">
        <w:t>3 věta prvá Listiny základních práv a svobod, vlastnictví též zavazuje</w:t>
      </w:r>
      <w:r>
        <w:t xml:space="preserve">. </w:t>
      </w:r>
      <w:r w:rsidRPr="008D440C">
        <w:t>Povinnosti vlastníka kulturní památky jsou stanoveny mimo jiné též zákonem o státní památkové péči</w:t>
      </w:r>
      <w:r>
        <w:t xml:space="preserve">. </w:t>
      </w:r>
      <w:r w:rsidRPr="008D440C">
        <w:t>Vlastník kulturní památky je povinen na vlastní náklad pečovat o její zachování, udržovat ji v dobrém stavu a chránit ji před ohrožením, poškozením, znehodnocením nebo odcizením (§ 9 odst</w:t>
      </w:r>
      <w:r>
        <w:t xml:space="preserve">. </w:t>
      </w:r>
      <w:r w:rsidRPr="008D440C">
        <w:t>1 zákona o státní památkové péči), dále je též povinen bez zbytečného odkladu každé ohrožení nebo poškození oznámit okresnímu úřadu (§</w:t>
      </w:r>
      <w:r>
        <w:t> </w:t>
      </w:r>
      <w:r w:rsidRPr="008D440C">
        <w:t>12 odst</w:t>
      </w:r>
      <w:r>
        <w:t xml:space="preserve">. </w:t>
      </w:r>
      <w:r w:rsidRPr="008D440C">
        <w:t>1 zákona o státní památkové péči)</w:t>
      </w:r>
      <w:r>
        <w:t xml:space="preserve">. </w:t>
      </w:r>
      <w:r w:rsidRPr="008D440C">
        <w:t>Za porušení těchto povinností vlastníku kulturní památky hrozí sankce</w:t>
      </w:r>
      <w:r>
        <w:t xml:space="preserve">. </w:t>
      </w:r>
      <w:r w:rsidRPr="008D440C">
        <w:t>Pokud tedy žalobkyně namítala, že kostel sv</w:t>
      </w:r>
      <w:r>
        <w:t xml:space="preserve">. </w:t>
      </w:r>
      <w:r w:rsidRPr="008D440C">
        <w:t>Václava chátral, bylo její zákonnou povinností tomuto stavu předejít, případně tento stav řešit, a to na vlastní náklady, respektive za pomoci příspěvku na zachování a obnovu kulturní památky (§</w:t>
      </w:r>
      <w:r>
        <w:t> </w:t>
      </w:r>
      <w:r w:rsidRPr="008D440C">
        <w:t>16</w:t>
      </w:r>
      <w:r>
        <w:t> </w:t>
      </w:r>
      <w:r w:rsidRPr="008D440C">
        <w:t>zákona o státní památkové péči), případně i za pomoci soukromých finančních příspěvků</w:t>
      </w:r>
      <w:r>
        <w:t xml:space="preserve">. </w:t>
      </w:r>
      <w:r w:rsidRPr="008D440C">
        <w:t>Při plnění povinností vlastníka kulturní památky však byla žalobkyně povinna postupovat v</w:t>
      </w:r>
      <w:r>
        <w:t> </w:t>
      </w:r>
      <w:r w:rsidRPr="008D440C">
        <w:t>souladu s platnými právními předpisy, nejen zákonem o státní památkové péči</w:t>
      </w:r>
      <w:r>
        <w:t xml:space="preserve">. </w:t>
      </w:r>
    </w:p>
    <w:p w:rsidR="003E6545" w:rsidRPr="008D440C" w:rsidRDefault="003E6545" w:rsidP="003E6545">
      <w:pPr>
        <w:ind w:firstLine="708"/>
        <w:jc w:val="both"/>
      </w:pPr>
      <w:r w:rsidRPr="008D440C">
        <w:t>Z vyjádření Okresního muzea Č</w:t>
      </w:r>
      <w:r>
        <w:t xml:space="preserve">. </w:t>
      </w:r>
      <w:r w:rsidRPr="008D440C">
        <w:t>ze dne 13</w:t>
      </w:r>
      <w:r>
        <w:t xml:space="preserve">. </w:t>
      </w:r>
      <w:r w:rsidRPr="008D440C">
        <w:t>8</w:t>
      </w:r>
      <w:r>
        <w:t xml:space="preserve">. </w:t>
      </w:r>
      <w:r w:rsidRPr="008D440C">
        <w:t>2001 vyplývá, že přístavba k sakristii kostela sv</w:t>
      </w:r>
      <w:r>
        <w:t xml:space="preserve">. </w:t>
      </w:r>
      <w:r w:rsidRPr="008D440C">
        <w:t>Václava se nachází na území s archeologickými nálezy, kterými jsou například gotický kostel, slovanské hradiště, hradiště ze starší doby železné</w:t>
      </w:r>
      <w:r>
        <w:t xml:space="preserve">. </w:t>
      </w:r>
      <w:r w:rsidRPr="008D440C">
        <w:t>Ve věci není sporu o tom, že stavební práce nebyly Archeologickému ústavu oznámeny</w:t>
      </w:r>
      <w:r>
        <w:t xml:space="preserve">. </w:t>
      </w:r>
      <w:r w:rsidRPr="008D440C">
        <w:t>Jak již soud uvedl shora, odpovědnost za porušení oznamovací povinnosti dle § 22 odst</w:t>
      </w:r>
      <w:r>
        <w:t xml:space="preserve">. </w:t>
      </w:r>
      <w:r w:rsidRPr="008D440C">
        <w:t>2 zákona o památkové péči je upravena jako objektivní</w:t>
      </w:r>
      <w:r>
        <w:t xml:space="preserve">. </w:t>
      </w:r>
      <w:r w:rsidRPr="008D440C">
        <w:t>Splnění povinnosti není zákonem vázáno ani na znalost skutečnosti, že jde o území s archeologickými nálezy, ani na to, zda stavebními pracemi nebo jinou činností dojde či nedojde k zásahu do archeologického naleziště</w:t>
      </w:r>
      <w:r>
        <w:t xml:space="preserve">. </w:t>
      </w:r>
      <w:r w:rsidRPr="008D440C">
        <w:t>Důvodem pro zproštění odpovědnosti za porušení této povinnosti nejsou ani předchozí zásahy do lokality</w:t>
      </w:r>
      <w:r>
        <w:t xml:space="preserve"> </w:t>
      </w:r>
      <w:r w:rsidRPr="008D440C">
        <w:t>s</w:t>
      </w:r>
      <w:r>
        <w:t> </w:t>
      </w:r>
      <w:r w:rsidRPr="008D440C">
        <w:t>archeologickými nálezy</w:t>
      </w:r>
      <w:r>
        <w:t xml:space="preserve">. </w:t>
      </w:r>
      <w:r w:rsidRPr="008D440C">
        <w:t>Soud upozorňuje, že žalobkyně není zásadně oprávněna činit závěr o tom, zda na místě je či není něco archeologicky zajímavého, protože předchozí práce zasáhly do značné hloubky a vybagrovaný materiál byl vyvezen na skládku</w:t>
      </w:r>
      <w:r>
        <w:t xml:space="preserve">. </w:t>
      </w:r>
      <w:r w:rsidRPr="008D440C">
        <w:t>Jak vyplývá</w:t>
      </w:r>
      <w:r>
        <w:t xml:space="preserve"> </w:t>
      </w:r>
      <w:r w:rsidRPr="008D440C">
        <w:t>z ustanovení § 23 odst</w:t>
      </w:r>
      <w:r>
        <w:t xml:space="preserve">. </w:t>
      </w:r>
      <w:r w:rsidRPr="008D440C">
        <w:t>1 zákona o státní památkové péči, archeologickým nálezem je věc (soubor věcí), která je dokladem nebo pozůstatkem života člověka a jeho činnosti od počátku vývoje do novověku a zachovala se zpravidla pod zemí</w:t>
      </w:r>
      <w:r>
        <w:t xml:space="preserve">. </w:t>
      </w:r>
      <w:r w:rsidRPr="008D440C">
        <w:t>Výraz zpravidla znamená, že archeologickým nálezem může být věc nebo soubor věcí nikoli pouze pod zemí</w:t>
      </w:r>
      <w:r>
        <w:t xml:space="preserve">. </w:t>
      </w:r>
      <w:r w:rsidRPr="008D440C">
        <w:t>Rovněž skutečnost, že dle tvrzení žalobkyně nedošlo k poškození archeologického naleziště, nemá vliv na odpovědnost za porušení oznamovací povinnosti Archeologickému ústavu</w:t>
      </w:r>
      <w:r>
        <w:t xml:space="preserve">. </w:t>
      </w:r>
      <w:r w:rsidRPr="008D440C">
        <w:t>Pokud žalobkyně namítala, že není zřejmé, k jaké jiné oprávněné organizaci lze oznámení učinit,</w:t>
      </w:r>
      <w:r>
        <w:t xml:space="preserve"> </w:t>
      </w:r>
      <w:r w:rsidRPr="008D440C">
        <w:t xml:space="preserve">z </w:t>
      </w:r>
      <w:r w:rsidRPr="008D440C">
        <w:lastRenderedPageBreak/>
        <w:t>ustanovení § 22 odst</w:t>
      </w:r>
      <w:r>
        <w:t xml:space="preserve">. </w:t>
      </w:r>
      <w:r w:rsidRPr="008D440C">
        <w:t>2 zákona o státní památkové péči jasně vyplývá, že oznámení se vždy činí Archeologickému ústavu</w:t>
      </w:r>
      <w:r>
        <w:t xml:space="preserve">. </w:t>
      </w:r>
      <w:r w:rsidRPr="008D440C">
        <w:t>Jiná oprávněná organizace může být případně jen oprávněna ve smyslu ustanovení § 21 odst</w:t>
      </w:r>
      <w:r>
        <w:t xml:space="preserve">. </w:t>
      </w:r>
      <w:r w:rsidRPr="008D440C">
        <w:t>2 zákona o státní památkové péči k provádění archeologického výzkumu</w:t>
      </w:r>
      <w:r>
        <w:t xml:space="preserve">. </w:t>
      </w:r>
      <w:r w:rsidRPr="008D440C">
        <w:t>Uložení pokuty též za porušení oznamovací povinnosti dle § 22 odst</w:t>
      </w:r>
      <w:r>
        <w:t xml:space="preserve">. </w:t>
      </w:r>
      <w:r w:rsidRPr="008D440C">
        <w:t>2 zákona o</w:t>
      </w:r>
      <w:r>
        <w:t> </w:t>
      </w:r>
      <w:r w:rsidRPr="008D440C">
        <w:t>státní památkové péči soud shledal v souladu se zákonem</w:t>
      </w:r>
      <w:r>
        <w:t xml:space="preserve">. </w:t>
      </w:r>
    </w:p>
    <w:p w:rsidR="001C63A3" w:rsidRPr="003E6545" w:rsidRDefault="001C63A3" w:rsidP="003E6545">
      <w:bookmarkStart w:id="2" w:name="_GoBack"/>
      <w:bookmarkEnd w:id="2"/>
    </w:p>
    <w:sectPr w:rsidR="001C63A3" w:rsidRPr="003E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13" w:rsidRDefault="00CE6313" w:rsidP="00B775D5">
      <w:r>
        <w:separator/>
      </w:r>
    </w:p>
  </w:endnote>
  <w:endnote w:type="continuationSeparator" w:id="0">
    <w:p w:rsidR="00CE6313" w:rsidRDefault="00CE6313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13" w:rsidRDefault="00CE6313" w:rsidP="00B775D5">
      <w:r>
        <w:separator/>
      </w:r>
    </w:p>
  </w:footnote>
  <w:footnote w:type="continuationSeparator" w:id="0">
    <w:p w:rsidR="00CE6313" w:rsidRDefault="00CE6313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122E0F"/>
    <w:rsid w:val="001C63A3"/>
    <w:rsid w:val="00227666"/>
    <w:rsid w:val="002822CB"/>
    <w:rsid w:val="002F5441"/>
    <w:rsid w:val="00304225"/>
    <w:rsid w:val="00331A98"/>
    <w:rsid w:val="003B735E"/>
    <w:rsid w:val="003D1A5A"/>
    <w:rsid w:val="003E6545"/>
    <w:rsid w:val="00422781"/>
    <w:rsid w:val="004508F6"/>
    <w:rsid w:val="0047138D"/>
    <w:rsid w:val="005843C9"/>
    <w:rsid w:val="006C7007"/>
    <w:rsid w:val="006D2D75"/>
    <w:rsid w:val="0077417A"/>
    <w:rsid w:val="007A0884"/>
    <w:rsid w:val="007B1148"/>
    <w:rsid w:val="007D015F"/>
    <w:rsid w:val="007D1139"/>
    <w:rsid w:val="00903111"/>
    <w:rsid w:val="009A2FF3"/>
    <w:rsid w:val="00A91B34"/>
    <w:rsid w:val="00B775D5"/>
    <w:rsid w:val="00B9560E"/>
    <w:rsid w:val="00BF759B"/>
    <w:rsid w:val="00C23CE7"/>
    <w:rsid w:val="00C83470"/>
    <w:rsid w:val="00C94C29"/>
    <w:rsid w:val="00CE6313"/>
    <w:rsid w:val="00D232B9"/>
    <w:rsid w:val="00DF07E5"/>
    <w:rsid w:val="00DF4D1B"/>
    <w:rsid w:val="00E322A7"/>
    <w:rsid w:val="00EA58BB"/>
    <w:rsid w:val="00F048CB"/>
    <w:rsid w:val="00F12DAF"/>
    <w:rsid w:val="00F31BF0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Michal Tupý</cp:lastModifiedBy>
  <cp:revision>4</cp:revision>
  <dcterms:created xsi:type="dcterms:W3CDTF">2016-12-15T12:56:00Z</dcterms:created>
  <dcterms:modified xsi:type="dcterms:W3CDTF">2017-07-25T12:49:00Z</dcterms:modified>
</cp:coreProperties>
</file>