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ED" w:rsidRPr="00347C5C" w:rsidRDefault="008F24ED" w:rsidP="0082785F">
      <w:pPr>
        <w:pStyle w:val="Nadpis2"/>
      </w:pPr>
      <w:bookmarkStart w:id="0" w:name="_Toc377730080"/>
      <w:bookmarkStart w:id="1" w:name="_Toc401223071"/>
      <w:r w:rsidRPr="00347C5C">
        <w:t>Objektivní stránka protiprávního jednání, dokazování</w:t>
      </w:r>
      <w:bookmarkEnd w:id="0"/>
      <w:bookmarkEnd w:id="1"/>
    </w:p>
    <w:p w:rsidR="008B6CFB" w:rsidRDefault="008F24ED" w:rsidP="008F24ED">
      <w:pPr>
        <w:jc w:val="both"/>
      </w:pPr>
      <w:r w:rsidRPr="00347C5C">
        <w:t xml:space="preserve">Vlastníkovi nemovitosti, která není kulturní památkou, ale nachází se na území památkové rezervace, uložil orgán památkové péče rozhodnutím čj. 1234/2012 ze dne 12. prosince 2012 pokutu za přestupek spáchaný umístěním smaltované cedule s nápisem „RED LIGHT STREET, N. M. P.“ imitující oficiální označení ulice na dům čp. 432 v ulici Ve S. Obviněný z přestupku při projednávání přestupku nespolupracoval, nekomunikoval se správním orgánem a vedení řízení ignoroval. Doručováno mu bylo fikcí. V průběhu řízení byla předmětná cedule z domu odstraněna. Orgán památkové péče zastával názor, že se jedná o trvající přestupek, který byl spáchán tím, že vlastník dotčené nemovitosti udržoval protiprávní stav osazení cedule minimálně z nedbalosti. Orgán památkové péče nezjistil dostatečně skutkový stav, neboť </w:t>
      </w:r>
      <w:r w:rsidRPr="00347C5C">
        <w:rPr>
          <w:bCs/>
        </w:rPr>
        <w:t>v jeho rozhodnutí absentují skutková zjištění a úvahy, zda obviněný jednal zaviněně</w:t>
      </w:r>
      <w:r w:rsidRPr="00347C5C">
        <w:t xml:space="preserve">. Sankcionované jednání nemá ani oporu ve spisech. Podle § 3 přestupkového zákona k odpovědnosti za přestupek postačí zavinění z nedbalosti, nestanoví-li zákon výslovně, že je třeba úmyslného zavinění. Podle § 4 přestupkového zákona je pak přestupek spáchán z nedbalosti, jestliže pachatel </w:t>
      </w:r>
      <w:r w:rsidRPr="00347C5C">
        <w:rPr>
          <w:bCs/>
        </w:rPr>
        <w:t>a) věděl, že svým jednáním může porušit nebo ohrozit zájem chráněný zákonem, ale bez přiměřených důvodů spoléhal na to, že tento zájem neporuší nebo neohrozí</w:t>
      </w:r>
      <w:r w:rsidRPr="00347C5C">
        <w:t>, nebo b) nevěděl, že svým jednáním může ohrozit zájem chráněný zákonem, ač to vzhledem k okolnostem a svým osobním poměrům vědět měl a mohl (srovnej např. rozsudek NSS 7 As 105/2010-96 ze dne 12. 5. 2011)</w:t>
      </w:r>
      <w:r w:rsidR="00E27F6D">
        <w:t xml:space="preserve"> </w:t>
      </w:r>
      <w:r w:rsidR="00E27F6D" w:rsidRPr="00430DA8">
        <w:rPr>
          <w:i/>
          <w:color w:val="0000FF"/>
        </w:rPr>
        <w:t>[</w:t>
      </w:r>
      <w:r w:rsidR="00E27F6D">
        <w:rPr>
          <w:i/>
          <w:color w:val="0000FF"/>
        </w:rPr>
        <w:t xml:space="preserve">nově </w:t>
      </w:r>
      <w:r w:rsidR="00E27F6D">
        <w:rPr>
          <w:i/>
          <w:color w:val="0000FF"/>
        </w:rPr>
        <w:t xml:space="preserve">ale fakticky stejně zavinění upravuje § 15 </w:t>
      </w:r>
      <w:proofErr w:type="spellStart"/>
      <w:r w:rsidR="00E27F6D">
        <w:rPr>
          <w:i/>
          <w:color w:val="0000FF"/>
        </w:rPr>
        <w:t>NPřestZ</w:t>
      </w:r>
      <w:bookmarkStart w:id="2" w:name="_GoBack"/>
      <w:bookmarkEnd w:id="2"/>
      <w:proofErr w:type="spellEnd"/>
      <w:r w:rsidR="00E27F6D">
        <w:rPr>
          <w:i/>
          <w:color w:val="0000FF"/>
        </w:rPr>
        <w:t>, poznámka vydavatele</w:t>
      </w:r>
      <w:r w:rsidR="00E27F6D" w:rsidRPr="00430DA8">
        <w:rPr>
          <w:i/>
          <w:color w:val="0000FF"/>
        </w:rPr>
        <w:t>]</w:t>
      </w:r>
      <w:r w:rsidRPr="00347C5C">
        <w:t>. Nebylo prokázáno, že obviněný „umístil“, jak je uvedeno ve výroku rozhodnutí předmětnou ceduli na svůj dům. Dále v konstrukci skutkové podstaty v § 39 odst. 1 písm. g) zákona o státní památkové péči (provádí stavbu, změnu stavby, terénní úpravy, umístění nebo odstranění zařízení, odstranění stavby, úpravu dřevin nebo udržovací práce na nemovitosti, která není kulturní podmínkou, ale je v památkové rezervaci, v památkové zóně, v ochranném pásmu nemovitě kulturní památky, nemovité národní kulturní památky, památkové rezervace nebo památkové zóny bez závazného stanoviska obecního úřadu obce s rozšířenou působností podle § 14 odst. 2 zákona o státní památkové péči) je sankcionováno jednorázové protiprávní jednání spočívající v provedení uvedených prací bez závazného stanoviska orgánu památkové péče a nikoliv udržování protiprávního stavu, jak uvádí orgán památkové péče.</w:t>
      </w:r>
    </w:p>
    <w:sectPr w:rsidR="008B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7A1D"/>
    <w:multiLevelType w:val="multilevel"/>
    <w:tmpl w:val="F86E36A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ED"/>
    <w:rsid w:val="003723DF"/>
    <w:rsid w:val="004A110C"/>
    <w:rsid w:val="0082785F"/>
    <w:rsid w:val="008B6CFB"/>
    <w:rsid w:val="008F24ED"/>
    <w:rsid w:val="00982153"/>
    <w:rsid w:val="00E2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8F24ED"/>
    <w:pPr>
      <w:keepNext/>
      <w:numPr>
        <w:numId w:val="1"/>
      </w:numPr>
      <w:tabs>
        <w:tab w:val="left" w:pos="284"/>
      </w:tabs>
      <w:spacing w:before="480" w:after="300"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82785F"/>
    <w:pPr>
      <w:keepNext/>
      <w:spacing w:before="240" w:after="120"/>
      <w:ind w:left="36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F24ED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2785F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8F24ED"/>
    <w:pPr>
      <w:keepNext/>
      <w:numPr>
        <w:numId w:val="1"/>
      </w:numPr>
      <w:tabs>
        <w:tab w:val="left" w:pos="284"/>
      </w:tabs>
      <w:spacing w:before="480" w:after="300"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82785F"/>
    <w:pPr>
      <w:keepNext/>
      <w:spacing w:before="240" w:after="120"/>
      <w:ind w:left="36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F24ED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2785F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Tupy</dc:creator>
  <cp:lastModifiedBy>Michal Tupý</cp:lastModifiedBy>
  <cp:revision>4</cp:revision>
  <dcterms:created xsi:type="dcterms:W3CDTF">2016-11-28T13:16:00Z</dcterms:created>
  <dcterms:modified xsi:type="dcterms:W3CDTF">2017-07-25T07:47:00Z</dcterms:modified>
</cp:coreProperties>
</file>