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8F" w:rsidRPr="00AE0D8F" w:rsidRDefault="00AE0D8F" w:rsidP="00AE0D8F">
      <w:pPr>
        <w:spacing w:after="0" w:line="240" w:lineRule="auto"/>
        <w:jc w:val="center"/>
        <w:rPr>
          <w:rFonts w:ascii="Times New Roman" w:eastAsia="Times New Roman" w:hAnsi="Times New Roman"/>
          <w:b/>
          <w:sz w:val="52"/>
          <w:szCs w:val="52"/>
          <w:lang w:eastAsia="cs-CZ"/>
        </w:rPr>
      </w:pPr>
      <w:r w:rsidRPr="00AE0D8F">
        <w:rPr>
          <w:rFonts w:ascii="Times New Roman" w:eastAsia="Times New Roman" w:hAnsi="Times New Roman"/>
          <w:b/>
          <w:sz w:val="52"/>
          <w:szCs w:val="52"/>
          <w:lang w:eastAsia="cs-CZ"/>
        </w:rPr>
        <w:t>Judikatura a památková péče</w:t>
      </w:r>
    </w:p>
    <w:p w:rsidR="00AE0D8F" w:rsidRDefault="00AE0D8F" w:rsidP="00A771C0">
      <w:pPr>
        <w:pStyle w:val="Obsah4"/>
      </w:pPr>
    </w:p>
    <w:p w:rsidR="007E1074" w:rsidRDefault="003A4F97" w:rsidP="00A771C0">
      <w:pPr>
        <w:pStyle w:val="Obsah4"/>
      </w:pPr>
      <w:r>
        <w:t>Obsah:</w:t>
      </w:r>
    </w:p>
    <w:p w:rsidR="003D520D" w:rsidRDefault="003A4F97">
      <w:pPr>
        <w:pStyle w:val="Obsah4"/>
        <w:rPr>
          <w:rFonts w:asciiTheme="minorHAnsi" w:eastAsiaTheme="minorEastAsia" w:hAnsiTheme="minorHAnsi" w:cstheme="minorBidi"/>
          <w:b w:val="0"/>
          <w:noProof/>
          <w:sz w:val="22"/>
          <w:szCs w:val="22"/>
          <w:u w:val="none"/>
        </w:rPr>
      </w:pPr>
      <w:r w:rsidRPr="00C015C8">
        <w:rPr>
          <w:u w:val="none"/>
        </w:rPr>
        <w:fldChar w:fldCharType="begin"/>
      </w:r>
      <w:r w:rsidRPr="00C015C8">
        <w:rPr>
          <w:u w:val="none"/>
        </w:rPr>
        <w:instrText xml:space="preserve"> TOC \o "1-4" \h \z \u </w:instrText>
      </w:r>
      <w:r w:rsidRPr="00C015C8">
        <w:rPr>
          <w:u w:val="none"/>
        </w:rPr>
        <w:fldChar w:fldCharType="separate"/>
      </w:r>
      <w:hyperlink w:anchor="_Toc464464499" w:history="1">
        <w:r w:rsidR="003D520D" w:rsidRPr="00B04DD5">
          <w:rPr>
            <w:rStyle w:val="Hypertextovodkaz"/>
            <w:noProof/>
          </w:rPr>
          <w:t>1.</w:t>
        </w:r>
        <w:r w:rsidR="003D520D">
          <w:rPr>
            <w:rFonts w:asciiTheme="minorHAnsi" w:eastAsiaTheme="minorEastAsia" w:hAnsiTheme="minorHAnsi" w:cstheme="minorBidi"/>
            <w:b w:val="0"/>
            <w:noProof/>
            <w:sz w:val="22"/>
            <w:szCs w:val="22"/>
            <w:u w:val="none"/>
          </w:rPr>
          <w:tab/>
        </w:r>
        <w:r w:rsidR="003D520D" w:rsidRPr="00B04DD5">
          <w:rPr>
            <w:rStyle w:val="Hypertextovodkaz"/>
            <w:noProof/>
          </w:rPr>
          <w:t>Vozidlo jako stavba - výrobek</w:t>
        </w:r>
        <w:r w:rsidR="003D520D">
          <w:rPr>
            <w:noProof/>
            <w:webHidden/>
          </w:rPr>
          <w:tab/>
        </w:r>
        <w:r w:rsidR="003D520D">
          <w:rPr>
            <w:noProof/>
            <w:webHidden/>
          </w:rPr>
          <w:fldChar w:fldCharType="begin"/>
        </w:r>
        <w:r w:rsidR="003D520D">
          <w:rPr>
            <w:noProof/>
            <w:webHidden/>
          </w:rPr>
          <w:instrText xml:space="preserve"> PAGEREF _Toc464464499 \h </w:instrText>
        </w:r>
        <w:r w:rsidR="003D520D">
          <w:rPr>
            <w:noProof/>
            <w:webHidden/>
          </w:rPr>
        </w:r>
        <w:r w:rsidR="003D520D">
          <w:rPr>
            <w:noProof/>
            <w:webHidden/>
          </w:rPr>
          <w:fldChar w:fldCharType="separate"/>
        </w:r>
        <w:r w:rsidR="003D520D">
          <w:rPr>
            <w:noProof/>
            <w:webHidden/>
          </w:rPr>
          <w:t>1</w:t>
        </w:r>
        <w:r w:rsidR="003D520D">
          <w:rPr>
            <w:noProof/>
            <w:webHidden/>
          </w:rPr>
          <w:fldChar w:fldCharType="end"/>
        </w:r>
      </w:hyperlink>
    </w:p>
    <w:p w:rsidR="003D520D" w:rsidRDefault="003D520D">
      <w:pPr>
        <w:pStyle w:val="Obsah4"/>
        <w:rPr>
          <w:rFonts w:asciiTheme="minorHAnsi" w:eastAsiaTheme="minorEastAsia" w:hAnsiTheme="minorHAnsi" w:cstheme="minorBidi"/>
          <w:b w:val="0"/>
          <w:noProof/>
          <w:sz w:val="22"/>
          <w:szCs w:val="22"/>
          <w:u w:val="none"/>
        </w:rPr>
      </w:pPr>
      <w:hyperlink w:anchor="_Toc464464500" w:history="1">
        <w:r w:rsidRPr="00B04DD5">
          <w:rPr>
            <w:rStyle w:val="Hypertextovodkaz"/>
            <w:noProof/>
          </w:rPr>
          <w:t>2.</w:t>
        </w:r>
        <w:r>
          <w:rPr>
            <w:rFonts w:asciiTheme="minorHAnsi" w:eastAsiaTheme="minorEastAsia" w:hAnsiTheme="minorHAnsi" w:cstheme="minorBidi"/>
            <w:b w:val="0"/>
            <w:noProof/>
            <w:sz w:val="22"/>
            <w:szCs w:val="22"/>
            <w:u w:val="none"/>
          </w:rPr>
          <w:tab/>
        </w:r>
        <w:r w:rsidRPr="00B04DD5">
          <w:rPr>
            <w:rStyle w:val="Hypertextovodkaz"/>
            <w:noProof/>
          </w:rPr>
          <w:t>Přezkum zákonnosti opatření obecné povahy</w:t>
        </w:r>
        <w:r>
          <w:rPr>
            <w:noProof/>
            <w:webHidden/>
          </w:rPr>
          <w:tab/>
        </w:r>
        <w:r>
          <w:rPr>
            <w:noProof/>
            <w:webHidden/>
          </w:rPr>
          <w:fldChar w:fldCharType="begin"/>
        </w:r>
        <w:r>
          <w:rPr>
            <w:noProof/>
            <w:webHidden/>
          </w:rPr>
          <w:instrText xml:space="preserve"> PAGEREF _Toc464464500 \h </w:instrText>
        </w:r>
        <w:r>
          <w:rPr>
            <w:noProof/>
            <w:webHidden/>
          </w:rPr>
        </w:r>
        <w:r>
          <w:rPr>
            <w:noProof/>
            <w:webHidden/>
          </w:rPr>
          <w:fldChar w:fldCharType="separate"/>
        </w:r>
        <w:r>
          <w:rPr>
            <w:noProof/>
            <w:webHidden/>
          </w:rPr>
          <w:t>2</w:t>
        </w:r>
        <w:r>
          <w:rPr>
            <w:noProof/>
            <w:webHidden/>
          </w:rPr>
          <w:fldChar w:fldCharType="end"/>
        </w:r>
      </w:hyperlink>
    </w:p>
    <w:p w:rsidR="003D520D" w:rsidRDefault="003D520D">
      <w:pPr>
        <w:pStyle w:val="Obsah4"/>
        <w:rPr>
          <w:rFonts w:asciiTheme="minorHAnsi" w:eastAsiaTheme="minorEastAsia" w:hAnsiTheme="minorHAnsi" w:cstheme="minorBidi"/>
          <w:b w:val="0"/>
          <w:noProof/>
          <w:sz w:val="22"/>
          <w:szCs w:val="22"/>
          <w:u w:val="none"/>
        </w:rPr>
      </w:pPr>
      <w:hyperlink w:anchor="_Toc464464501" w:history="1">
        <w:r w:rsidRPr="00B04DD5">
          <w:rPr>
            <w:rStyle w:val="Hypertextovodkaz"/>
            <w:noProof/>
          </w:rPr>
          <w:t>3.</w:t>
        </w:r>
        <w:r>
          <w:rPr>
            <w:rFonts w:asciiTheme="minorHAnsi" w:eastAsiaTheme="minorEastAsia" w:hAnsiTheme="minorHAnsi" w:cstheme="minorBidi"/>
            <w:b w:val="0"/>
            <w:noProof/>
            <w:sz w:val="22"/>
            <w:szCs w:val="22"/>
            <w:u w:val="none"/>
          </w:rPr>
          <w:tab/>
        </w:r>
        <w:r w:rsidRPr="00B04DD5">
          <w:rPr>
            <w:rStyle w:val="Hypertextovodkaz"/>
            <w:noProof/>
          </w:rPr>
          <w:t>Průzkum detektorem kovů a trest propadnutí detektoru</w:t>
        </w:r>
        <w:r>
          <w:rPr>
            <w:noProof/>
            <w:webHidden/>
          </w:rPr>
          <w:tab/>
        </w:r>
        <w:r>
          <w:rPr>
            <w:noProof/>
            <w:webHidden/>
          </w:rPr>
          <w:fldChar w:fldCharType="begin"/>
        </w:r>
        <w:r>
          <w:rPr>
            <w:noProof/>
            <w:webHidden/>
          </w:rPr>
          <w:instrText xml:space="preserve"> PAGEREF _Toc464464501 \h </w:instrText>
        </w:r>
        <w:r>
          <w:rPr>
            <w:noProof/>
            <w:webHidden/>
          </w:rPr>
        </w:r>
        <w:r>
          <w:rPr>
            <w:noProof/>
            <w:webHidden/>
          </w:rPr>
          <w:fldChar w:fldCharType="separate"/>
        </w:r>
        <w:r>
          <w:rPr>
            <w:noProof/>
            <w:webHidden/>
          </w:rPr>
          <w:t>3</w:t>
        </w:r>
        <w:r>
          <w:rPr>
            <w:noProof/>
            <w:webHidden/>
          </w:rPr>
          <w:fldChar w:fldCharType="end"/>
        </w:r>
      </w:hyperlink>
    </w:p>
    <w:p w:rsidR="003D520D" w:rsidRDefault="003D520D">
      <w:pPr>
        <w:pStyle w:val="Obsah4"/>
        <w:rPr>
          <w:rFonts w:asciiTheme="minorHAnsi" w:eastAsiaTheme="minorEastAsia" w:hAnsiTheme="minorHAnsi" w:cstheme="minorBidi"/>
          <w:b w:val="0"/>
          <w:noProof/>
          <w:sz w:val="22"/>
          <w:szCs w:val="22"/>
          <w:u w:val="none"/>
        </w:rPr>
      </w:pPr>
      <w:hyperlink w:anchor="_Toc464464502" w:history="1">
        <w:r w:rsidRPr="00B04DD5">
          <w:rPr>
            <w:rStyle w:val="Hypertextovodkaz"/>
            <w:noProof/>
          </w:rPr>
          <w:t>4.</w:t>
        </w:r>
        <w:r>
          <w:rPr>
            <w:rFonts w:asciiTheme="minorHAnsi" w:eastAsiaTheme="minorEastAsia" w:hAnsiTheme="minorHAnsi" w:cstheme="minorBidi"/>
            <w:b w:val="0"/>
            <w:noProof/>
            <w:sz w:val="22"/>
            <w:szCs w:val="22"/>
            <w:u w:val="none"/>
          </w:rPr>
          <w:tab/>
        </w:r>
        <w:r w:rsidRPr="00B04DD5">
          <w:rPr>
            <w:rStyle w:val="Hypertextovodkaz"/>
            <w:noProof/>
          </w:rPr>
          <w:t>Ochrana vlastnictví v případě černé stavby</w:t>
        </w:r>
        <w:r>
          <w:rPr>
            <w:noProof/>
            <w:webHidden/>
          </w:rPr>
          <w:tab/>
        </w:r>
        <w:r>
          <w:rPr>
            <w:noProof/>
            <w:webHidden/>
          </w:rPr>
          <w:fldChar w:fldCharType="begin"/>
        </w:r>
        <w:r>
          <w:rPr>
            <w:noProof/>
            <w:webHidden/>
          </w:rPr>
          <w:instrText xml:space="preserve"> PAGEREF _Toc464464502 \h </w:instrText>
        </w:r>
        <w:r>
          <w:rPr>
            <w:noProof/>
            <w:webHidden/>
          </w:rPr>
        </w:r>
        <w:r>
          <w:rPr>
            <w:noProof/>
            <w:webHidden/>
          </w:rPr>
          <w:fldChar w:fldCharType="separate"/>
        </w:r>
        <w:r>
          <w:rPr>
            <w:noProof/>
            <w:webHidden/>
          </w:rPr>
          <w:t>4</w:t>
        </w:r>
        <w:r>
          <w:rPr>
            <w:noProof/>
            <w:webHidden/>
          </w:rPr>
          <w:fldChar w:fldCharType="end"/>
        </w:r>
      </w:hyperlink>
    </w:p>
    <w:p w:rsidR="003D520D" w:rsidRDefault="003D520D">
      <w:pPr>
        <w:pStyle w:val="Obsah4"/>
        <w:rPr>
          <w:rFonts w:asciiTheme="minorHAnsi" w:eastAsiaTheme="minorEastAsia" w:hAnsiTheme="minorHAnsi" w:cstheme="minorBidi"/>
          <w:b w:val="0"/>
          <w:noProof/>
          <w:sz w:val="22"/>
          <w:szCs w:val="22"/>
          <w:u w:val="none"/>
        </w:rPr>
      </w:pPr>
      <w:hyperlink w:anchor="_Toc464464503" w:history="1">
        <w:r w:rsidRPr="00B04DD5">
          <w:rPr>
            <w:rStyle w:val="Hypertextovodkaz"/>
            <w:noProof/>
          </w:rPr>
          <w:t>5.</w:t>
        </w:r>
        <w:r>
          <w:rPr>
            <w:rFonts w:asciiTheme="minorHAnsi" w:eastAsiaTheme="minorEastAsia" w:hAnsiTheme="minorHAnsi" w:cstheme="minorBidi"/>
            <w:b w:val="0"/>
            <w:noProof/>
            <w:sz w:val="22"/>
            <w:szCs w:val="22"/>
            <w:u w:val="none"/>
          </w:rPr>
          <w:tab/>
        </w:r>
        <w:r w:rsidRPr="00B04DD5">
          <w:rPr>
            <w:rStyle w:val="Hypertextovodkaz"/>
            <w:noProof/>
          </w:rPr>
          <w:t>Nikdo nesmí být v sankčním řízení nucen k tomu, aby se sám obvinil (nemo tenetur)</w:t>
        </w:r>
        <w:r>
          <w:rPr>
            <w:noProof/>
            <w:webHidden/>
          </w:rPr>
          <w:tab/>
        </w:r>
        <w:r>
          <w:rPr>
            <w:noProof/>
            <w:webHidden/>
          </w:rPr>
          <w:fldChar w:fldCharType="begin"/>
        </w:r>
        <w:r>
          <w:rPr>
            <w:noProof/>
            <w:webHidden/>
          </w:rPr>
          <w:instrText xml:space="preserve"> PAGEREF _Toc464464503 \h </w:instrText>
        </w:r>
        <w:r>
          <w:rPr>
            <w:noProof/>
            <w:webHidden/>
          </w:rPr>
        </w:r>
        <w:r>
          <w:rPr>
            <w:noProof/>
            <w:webHidden/>
          </w:rPr>
          <w:fldChar w:fldCharType="separate"/>
        </w:r>
        <w:r>
          <w:rPr>
            <w:noProof/>
            <w:webHidden/>
          </w:rPr>
          <w:t>4</w:t>
        </w:r>
        <w:r>
          <w:rPr>
            <w:noProof/>
            <w:webHidden/>
          </w:rPr>
          <w:fldChar w:fldCharType="end"/>
        </w:r>
      </w:hyperlink>
    </w:p>
    <w:p w:rsidR="003D520D" w:rsidRDefault="003D520D">
      <w:pPr>
        <w:pStyle w:val="Obsah4"/>
        <w:rPr>
          <w:rFonts w:asciiTheme="minorHAnsi" w:eastAsiaTheme="minorEastAsia" w:hAnsiTheme="minorHAnsi" w:cstheme="minorBidi"/>
          <w:b w:val="0"/>
          <w:noProof/>
          <w:sz w:val="22"/>
          <w:szCs w:val="22"/>
          <w:u w:val="none"/>
        </w:rPr>
      </w:pPr>
      <w:hyperlink w:anchor="_Toc464464504" w:history="1">
        <w:r w:rsidRPr="00B04DD5">
          <w:rPr>
            <w:rStyle w:val="Hypertextovodkaz"/>
            <w:noProof/>
          </w:rPr>
          <w:t>6.</w:t>
        </w:r>
        <w:r>
          <w:rPr>
            <w:rFonts w:asciiTheme="minorHAnsi" w:eastAsiaTheme="minorEastAsia" w:hAnsiTheme="minorHAnsi" w:cstheme="minorBidi"/>
            <w:b w:val="0"/>
            <w:noProof/>
            <w:sz w:val="22"/>
            <w:szCs w:val="22"/>
            <w:u w:val="none"/>
          </w:rPr>
          <w:tab/>
        </w:r>
        <w:r w:rsidRPr="00B04DD5">
          <w:rPr>
            <w:rStyle w:val="Hypertextovodkaz"/>
            <w:noProof/>
          </w:rPr>
          <w:t>Povinnost žadatele prokázat existenci mimořádně závažného zájmu v rámci řízení o zrušení prohlášení za kulturní památku a důsledku neunesení tohoto břemena na straně žadatele</w:t>
        </w:r>
        <w:r>
          <w:rPr>
            <w:noProof/>
            <w:webHidden/>
          </w:rPr>
          <w:tab/>
        </w:r>
        <w:r>
          <w:rPr>
            <w:noProof/>
            <w:webHidden/>
          </w:rPr>
          <w:fldChar w:fldCharType="begin"/>
        </w:r>
        <w:r>
          <w:rPr>
            <w:noProof/>
            <w:webHidden/>
          </w:rPr>
          <w:instrText xml:space="preserve"> PAGEREF _Toc464464504 \h </w:instrText>
        </w:r>
        <w:r>
          <w:rPr>
            <w:noProof/>
            <w:webHidden/>
          </w:rPr>
        </w:r>
        <w:r>
          <w:rPr>
            <w:noProof/>
            <w:webHidden/>
          </w:rPr>
          <w:fldChar w:fldCharType="separate"/>
        </w:r>
        <w:r>
          <w:rPr>
            <w:noProof/>
            <w:webHidden/>
          </w:rPr>
          <w:t>5</w:t>
        </w:r>
        <w:r>
          <w:rPr>
            <w:noProof/>
            <w:webHidden/>
          </w:rPr>
          <w:fldChar w:fldCharType="end"/>
        </w:r>
      </w:hyperlink>
    </w:p>
    <w:p w:rsidR="003A4F97" w:rsidRPr="00ED436C" w:rsidRDefault="003A4F97" w:rsidP="00ED436C">
      <w:pPr>
        <w:spacing w:after="0"/>
        <w:ind w:firstLine="708"/>
        <w:jc w:val="both"/>
        <w:rPr>
          <w:rFonts w:ascii="Times New Roman" w:hAnsi="Times New Roman"/>
          <w:sz w:val="24"/>
          <w:szCs w:val="24"/>
        </w:rPr>
      </w:pPr>
      <w:r w:rsidRPr="00C015C8">
        <w:rPr>
          <w:b/>
        </w:rPr>
        <w:fldChar w:fldCharType="end"/>
      </w:r>
    </w:p>
    <w:p w:rsidR="00A73089" w:rsidRDefault="00151136" w:rsidP="00A771C0">
      <w:pPr>
        <w:pStyle w:val="StylNadpis4Ped6bZa6b"/>
      </w:pPr>
      <w:bookmarkStart w:id="0" w:name="_Toc464464499"/>
      <w:r>
        <w:t xml:space="preserve">Vozidlo </w:t>
      </w:r>
      <w:r w:rsidR="00A740AE">
        <w:t>jako</w:t>
      </w:r>
      <w:r>
        <w:t xml:space="preserve"> stavba</w:t>
      </w:r>
      <w:r w:rsidR="00ED436C">
        <w:t xml:space="preserve"> - </w:t>
      </w:r>
      <w:r>
        <w:t>výrobek</w:t>
      </w:r>
      <w:bookmarkEnd w:id="0"/>
    </w:p>
    <w:p w:rsidR="00A73089" w:rsidRDefault="00151136" w:rsidP="00A73089">
      <w:pPr>
        <w:spacing w:after="0"/>
        <w:jc w:val="both"/>
        <w:rPr>
          <w:rFonts w:ascii="Times New Roman" w:hAnsi="Times New Roman"/>
          <w:b/>
          <w:sz w:val="24"/>
          <w:szCs w:val="24"/>
        </w:rPr>
      </w:pPr>
      <w:r>
        <w:rPr>
          <w:rFonts w:ascii="Times New Roman" w:hAnsi="Times New Roman"/>
          <w:b/>
          <w:sz w:val="24"/>
          <w:szCs w:val="24"/>
        </w:rPr>
        <w:t>Městský soud v Praze</w:t>
      </w:r>
      <w:r w:rsidR="00A771C0" w:rsidRPr="00A73089">
        <w:rPr>
          <w:rFonts w:ascii="Times New Roman" w:hAnsi="Times New Roman"/>
          <w:b/>
          <w:sz w:val="24"/>
          <w:szCs w:val="24"/>
        </w:rPr>
        <w:t xml:space="preserve"> </w:t>
      </w:r>
      <w:r w:rsidR="00A73089">
        <w:rPr>
          <w:rFonts w:ascii="Times New Roman" w:hAnsi="Times New Roman"/>
          <w:b/>
          <w:sz w:val="24"/>
          <w:szCs w:val="24"/>
        </w:rPr>
        <w:t xml:space="preserve">rozsudek spis. </w:t>
      </w:r>
      <w:proofErr w:type="gramStart"/>
      <w:r w:rsidR="00A73089">
        <w:rPr>
          <w:rFonts w:ascii="Times New Roman" w:hAnsi="Times New Roman"/>
          <w:b/>
          <w:sz w:val="24"/>
          <w:szCs w:val="24"/>
        </w:rPr>
        <w:t>zn.</w:t>
      </w:r>
      <w:proofErr w:type="gramEnd"/>
      <w:r w:rsidR="00A73089">
        <w:rPr>
          <w:rFonts w:ascii="Times New Roman" w:hAnsi="Times New Roman"/>
          <w:b/>
          <w:sz w:val="24"/>
          <w:szCs w:val="24"/>
        </w:rPr>
        <w:t xml:space="preserve"> </w:t>
      </w:r>
      <w:r>
        <w:rPr>
          <w:rFonts w:ascii="Times New Roman" w:hAnsi="Times New Roman"/>
          <w:b/>
          <w:sz w:val="24"/>
          <w:szCs w:val="24"/>
        </w:rPr>
        <w:t>10</w:t>
      </w:r>
      <w:r w:rsidR="00A73089" w:rsidRPr="00A73089">
        <w:rPr>
          <w:rFonts w:ascii="Times New Roman" w:hAnsi="Times New Roman"/>
          <w:b/>
          <w:sz w:val="24"/>
          <w:szCs w:val="24"/>
        </w:rPr>
        <w:t xml:space="preserve"> </w:t>
      </w:r>
      <w:r>
        <w:rPr>
          <w:rFonts w:ascii="Times New Roman" w:hAnsi="Times New Roman"/>
          <w:b/>
          <w:sz w:val="24"/>
          <w:szCs w:val="24"/>
        </w:rPr>
        <w:t>Ca</w:t>
      </w:r>
      <w:r w:rsidR="00A73089" w:rsidRPr="00A73089">
        <w:rPr>
          <w:rFonts w:ascii="Times New Roman" w:hAnsi="Times New Roman"/>
          <w:b/>
          <w:sz w:val="24"/>
          <w:szCs w:val="24"/>
        </w:rPr>
        <w:t xml:space="preserve"> </w:t>
      </w:r>
      <w:r>
        <w:rPr>
          <w:rFonts w:ascii="Times New Roman" w:hAnsi="Times New Roman"/>
          <w:b/>
          <w:sz w:val="24"/>
          <w:szCs w:val="24"/>
        </w:rPr>
        <w:t>280</w:t>
      </w:r>
      <w:r w:rsidR="00A73089" w:rsidRPr="00A73089">
        <w:rPr>
          <w:rFonts w:ascii="Times New Roman" w:hAnsi="Times New Roman"/>
          <w:b/>
          <w:sz w:val="24"/>
          <w:szCs w:val="24"/>
        </w:rPr>
        <w:t>/20</w:t>
      </w:r>
      <w:r>
        <w:rPr>
          <w:rFonts w:ascii="Times New Roman" w:hAnsi="Times New Roman"/>
          <w:b/>
          <w:sz w:val="24"/>
          <w:szCs w:val="24"/>
        </w:rPr>
        <w:t>08</w:t>
      </w:r>
      <w:r w:rsidR="00FA7692">
        <w:rPr>
          <w:rStyle w:val="Znakapoznpodarou"/>
          <w:rFonts w:ascii="Times New Roman" w:hAnsi="Times New Roman"/>
          <w:b/>
          <w:sz w:val="24"/>
          <w:szCs w:val="24"/>
        </w:rPr>
        <w:footnoteReference w:id="1"/>
      </w:r>
      <w:r w:rsidR="00FA7692">
        <w:rPr>
          <w:rFonts w:ascii="Times New Roman" w:hAnsi="Times New Roman"/>
          <w:b/>
          <w:sz w:val="24"/>
          <w:szCs w:val="24"/>
        </w:rPr>
        <w:t xml:space="preserve"> (D137)</w:t>
      </w:r>
    </w:p>
    <w:p w:rsidR="00A771C0" w:rsidRPr="00A73089" w:rsidRDefault="00A73089" w:rsidP="00A73089">
      <w:pPr>
        <w:spacing w:after="0"/>
        <w:jc w:val="both"/>
        <w:rPr>
          <w:rFonts w:ascii="Times New Roman" w:hAnsi="Times New Roman"/>
          <w:b/>
          <w:sz w:val="24"/>
          <w:szCs w:val="24"/>
        </w:rPr>
      </w:pPr>
      <w:r w:rsidRPr="00A73089">
        <w:rPr>
          <w:rFonts w:ascii="Times New Roman" w:hAnsi="Times New Roman"/>
          <w:b/>
          <w:sz w:val="24"/>
          <w:szCs w:val="24"/>
        </w:rPr>
        <w:t>v</w:t>
      </w:r>
      <w:r w:rsidR="00A771C0" w:rsidRPr="00A73089">
        <w:rPr>
          <w:rFonts w:ascii="Times New Roman" w:hAnsi="Times New Roman"/>
          <w:b/>
          <w:sz w:val="24"/>
          <w:szCs w:val="24"/>
        </w:rPr>
        <w:t>ybrané části judikátu:</w:t>
      </w:r>
      <w:bookmarkStart w:id="1" w:name="_GoBack"/>
      <w:bookmarkEnd w:id="1"/>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Nový stavební zákon č. 183/2006 Sb. zavedl do právního řádu zcela nový pojem „výrobek plnící funkci stavby“, aniž by však tento pojem definoval nebo jej nějak blíže vymezoval. Jde o novou kategorii stavebního zákona odlišnou od staveb, terénních úprav a zařízení. Výrobky plnící funkci stavby, na rozdíl od stavby ve smyslu § 2 odst. 3 zákona, nejsou výsledkem stavební činnosti, tj. přesněji řečeno nevznikly s použitím stavební nebo montážní technologie, ale jiné průmyslové, např. strojírenské technologie. Výrobek plnící</w:t>
      </w:r>
      <w:r>
        <w:rPr>
          <w:rFonts w:ascii="Times New Roman" w:hAnsi="Times New Roman"/>
          <w:sz w:val="24"/>
          <w:szCs w:val="24"/>
        </w:rPr>
        <w:t xml:space="preserve"> </w:t>
      </w:r>
      <w:r w:rsidRPr="00FA7692">
        <w:rPr>
          <w:rFonts w:ascii="Times New Roman" w:hAnsi="Times New Roman"/>
          <w:sz w:val="24"/>
          <w:szCs w:val="24"/>
        </w:rPr>
        <w:t>funkci stavby je zařízením vyrobeným továrním způsobem.</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V tomto ohledu se úvahy žalovaného ubíraly správným směrem, když zkoumal, zda jsou předmětné výrobky připojeny na rozvody elektřiny, vody a kanalizace, neboť u rekreačních objektů je takové připojení předpokladem k tomu, aby mohly plnit svoji funkci. … Pokud by se totiž např. jednalo o karavany umístěné na předmětném pozemku po krátkou dobu (např. pouhého jednoho dne, resp. noci), pak by se ani v případě připojení tohoto karavanu na sítě inženýrského vybavení nejednalo o výrobek plnící funkci stavby. </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Soud ovšem nemůže souhlasit ani s žalobcem v tom, že předmětné domy nemohou být v žádném případě výrobkem plnícím funkci stavby dle § 108 odst. 1 stavebního zákona, pokud si zachovají svůj charakter silničního vozidla a zůstanou přemístitelná. </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Podle názoru soudu je nejpodstatnějším charakteristickým znakem výrobku plnícího funkci stavby dle stavebního zákona to, že se jedná o výrobek umístěný na určitém konkrétním místě trvale nebo dlouhodobě. To vychází z toho, že i stavba je věcí umisťovanou na pozemku trvale nebo alespoň dlouhodobě. </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Je tak nutno odmítnout názor žalobce, podle něhož výrobkem plnícím funkci stavby nemůže být nemotorové vozidlo, resp. může jím být pouze v případě, přestane-li být přepravitelné po pozemních komunikacích. Stavební zákon hovoří zcela obecně o „výrobcích“ a nevylučuje tedy z této definice předem žádné typy výrobků, tj. ani silniční vozidla, ať už motorová nebo nemotorová. Bude-li silniční vozidlo umístěno na pozemku </w:t>
      </w:r>
      <w:r w:rsidRPr="00FA7692">
        <w:rPr>
          <w:rFonts w:ascii="Times New Roman" w:hAnsi="Times New Roman"/>
          <w:sz w:val="24"/>
          <w:szCs w:val="24"/>
        </w:rPr>
        <w:lastRenderedPageBreak/>
        <w:t>trvale a bude trvale plnit určitou funkci vyhrazenou zpravidla jen stavbám (tj. např. bude sloužit k bydlení) bude umístění takového výrobku na pozemek podléhat ohlášení stavebnímu úřadu.</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Skutečnost, zda je předmětný výrobek umístěn na pozemku trvale či dlouhodobě anebo nikoliv, bude nutno zkoumat v každém případě individuálně podle konkrétních okolností, pokud osoba, která výrobek na pozemek umístila, svůj záměr výslovně stavebnímu úřadu nevyjeví. Záměru ponechat výrobek na pozemku dlouhodobě nebo trvale bude tak např. nasvědčovat umístění předmětného výrobku na podezdívku, ale může se jednat právě i o vybudování přípojek sítí technického vybavení, jak o tom hovoří žalovaný. Dalšími vodítky pak mohou být terénní úpravy provedené v souvislosti s umístěním předmětného výrobku, vybudování stálých přístupových cest k tomuto výrobku, v daném případě by pak mohl být zkoumán např. i žalobcem projevený úmysl pronajímat mobilní domy turistům po celou dobu turistické sezóny aj.</w:t>
      </w:r>
    </w:p>
    <w:p w:rsidR="00A771C0" w:rsidRPr="00A771C0" w:rsidRDefault="00151136" w:rsidP="00A771C0">
      <w:pPr>
        <w:pStyle w:val="StylNadpis4Ped6bZa6b"/>
      </w:pPr>
      <w:bookmarkStart w:id="2" w:name="_Toc464464500"/>
      <w:r>
        <w:t>Přezkum zákonnosti opatření obecné povahy</w:t>
      </w:r>
      <w:bookmarkEnd w:id="2"/>
    </w:p>
    <w:p w:rsidR="00A73089" w:rsidRDefault="00A73089" w:rsidP="00A73089">
      <w:pPr>
        <w:spacing w:after="0" w:line="240" w:lineRule="auto"/>
        <w:jc w:val="both"/>
        <w:rPr>
          <w:rFonts w:ascii="Times New Roman" w:hAnsi="Times New Roman"/>
          <w:b/>
          <w:sz w:val="24"/>
          <w:szCs w:val="24"/>
        </w:rPr>
      </w:pPr>
      <w:r w:rsidRPr="00A73089">
        <w:rPr>
          <w:rFonts w:ascii="Times New Roman" w:hAnsi="Times New Roman"/>
          <w:b/>
          <w:sz w:val="24"/>
          <w:szCs w:val="24"/>
        </w:rPr>
        <w:t>Nejvyšší správní soud</w:t>
      </w:r>
      <w:r w:rsidR="00FE39B1">
        <w:rPr>
          <w:rFonts w:ascii="Times New Roman" w:hAnsi="Times New Roman"/>
          <w:b/>
          <w:sz w:val="24"/>
          <w:szCs w:val="24"/>
        </w:rPr>
        <w:t xml:space="preserve"> </w:t>
      </w:r>
      <w:r>
        <w:rPr>
          <w:rFonts w:ascii="Times New Roman" w:hAnsi="Times New Roman"/>
          <w:b/>
          <w:sz w:val="24"/>
          <w:szCs w:val="24"/>
        </w:rPr>
        <w:t xml:space="preserve">rozsudek spis. </w:t>
      </w:r>
      <w:proofErr w:type="gramStart"/>
      <w:r>
        <w:rPr>
          <w:rFonts w:ascii="Times New Roman" w:hAnsi="Times New Roman"/>
          <w:b/>
          <w:sz w:val="24"/>
          <w:szCs w:val="24"/>
        </w:rPr>
        <w:t>zn.</w:t>
      </w:r>
      <w:proofErr w:type="gramEnd"/>
      <w:r>
        <w:rPr>
          <w:rFonts w:ascii="Times New Roman" w:hAnsi="Times New Roman"/>
          <w:b/>
          <w:sz w:val="24"/>
          <w:szCs w:val="24"/>
        </w:rPr>
        <w:t xml:space="preserve"> </w:t>
      </w:r>
      <w:r w:rsidR="00151136">
        <w:rPr>
          <w:rFonts w:ascii="Times New Roman" w:hAnsi="Times New Roman"/>
          <w:b/>
          <w:sz w:val="24"/>
          <w:szCs w:val="24"/>
        </w:rPr>
        <w:t>5</w:t>
      </w:r>
      <w:r w:rsidRPr="00A73089">
        <w:rPr>
          <w:rFonts w:ascii="Times New Roman" w:hAnsi="Times New Roman"/>
          <w:b/>
          <w:sz w:val="24"/>
          <w:szCs w:val="24"/>
        </w:rPr>
        <w:t xml:space="preserve"> As </w:t>
      </w:r>
      <w:r w:rsidR="00151136">
        <w:rPr>
          <w:rFonts w:ascii="Times New Roman" w:hAnsi="Times New Roman"/>
          <w:b/>
          <w:sz w:val="24"/>
          <w:szCs w:val="24"/>
        </w:rPr>
        <w:t>85</w:t>
      </w:r>
      <w:r w:rsidRPr="00A73089">
        <w:rPr>
          <w:rFonts w:ascii="Times New Roman" w:hAnsi="Times New Roman"/>
          <w:b/>
          <w:sz w:val="24"/>
          <w:szCs w:val="24"/>
        </w:rPr>
        <w:t>/201</w:t>
      </w:r>
      <w:r w:rsidR="00151136">
        <w:rPr>
          <w:rFonts w:ascii="Times New Roman" w:hAnsi="Times New Roman"/>
          <w:b/>
          <w:sz w:val="24"/>
          <w:szCs w:val="24"/>
        </w:rPr>
        <w:t>5</w:t>
      </w:r>
      <w:r w:rsidRPr="00A73089">
        <w:rPr>
          <w:rFonts w:ascii="Times New Roman" w:hAnsi="Times New Roman"/>
          <w:b/>
          <w:sz w:val="24"/>
          <w:szCs w:val="24"/>
        </w:rPr>
        <w:t xml:space="preserve"> – 3</w:t>
      </w:r>
      <w:r w:rsidR="00151136">
        <w:rPr>
          <w:rFonts w:ascii="Times New Roman" w:hAnsi="Times New Roman"/>
          <w:b/>
          <w:sz w:val="24"/>
          <w:szCs w:val="24"/>
        </w:rPr>
        <w:t>6</w:t>
      </w:r>
    </w:p>
    <w:p w:rsidR="00A771C0" w:rsidRPr="00A771C0" w:rsidRDefault="00A73089" w:rsidP="00A73089">
      <w:pPr>
        <w:spacing w:after="0" w:line="240" w:lineRule="auto"/>
        <w:jc w:val="both"/>
        <w:rPr>
          <w:rFonts w:ascii="Times New Roman" w:hAnsi="Times New Roman"/>
          <w:b/>
          <w:sz w:val="24"/>
          <w:szCs w:val="24"/>
        </w:rPr>
      </w:pPr>
      <w:r w:rsidRPr="00A73089">
        <w:rPr>
          <w:rFonts w:ascii="Times New Roman" w:hAnsi="Times New Roman"/>
          <w:b/>
          <w:sz w:val="24"/>
          <w:szCs w:val="24"/>
        </w:rPr>
        <w:t>v</w:t>
      </w:r>
      <w:r w:rsidR="00A771C0" w:rsidRPr="00A771C0">
        <w:rPr>
          <w:rFonts w:ascii="Times New Roman" w:hAnsi="Times New Roman"/>
          <w:b/>
          <w:sz w:val="24"/>
          <w:szCs w:val="24"/>
        </w:rPr>
        <w:t>ybrané části judikátu:</w:t>
      </w:r>
    </w:p>
    <w:p w:rsidR="00A771C0" w:rsidRDefault="00A90D53" w:rsidP="00E13B27">
      <w:pPr>
        <w:spacing w:after="0"/>
        <w:ind w:firstLine="708"/>
        <w:jc w:val="both"/>
        <w:rPr>
          <w:rFonts w:ascii="Times New Roman" w:hAnsi="Times New Roman"/>
          <w:sz w:val="24"/>
          <w:szCs w:val="24"/>
        </w:rPr>
      </w:pPr>
      <w:r w:rsidRPr="00A90D53">
        <w:rPr>
          <w:rFonts w:ascii="Times New Roman" w:hAnsi="Times New Roman"/>
          <w:sz w:val="24"/>
          <w:szCs w:val="24"/>
        </w:rPr>
        <w:t>Správní akt, kterým se v přezkumném řízení provedeném dle § 174 odst. 2 správního řádu ruší územní plán obce, je třeba pokládat za opatření obecné povahy. Obec, jejíž územní plán byl zrušen, není účastníkem přezkumného řízení a nemá právo podat proti výsledku přezkumu odvolání. Za přiměřeného použití § 172 odst. 5 správního řádu však má postavení dotčené osoby s právem podat v přezkumném řízení proti návrhu výsledného aktu námitky.</w:t>
      </w:r>
    </w:p>
    <w:p w:rsidR="00A90D53" w:rsidRDefault="00A90D53" w:rsidP="00A90D53">
      <w:pPr>
        <w:spacing w:after="0"/>
        <w:ind w:firstLine="708"/>
        <w:jc w:val="both"/>
        <w:rPr>
          <w:rFonts w:ascii="Times New Roman" w:hAnsi="Times New Roman"/>
          <w:sz w:val="24"/>
          <w:szCs w:val="24"/>
        </w:rPr>
      </w:pPr>
      <w:r w:rsidRPr="00A90D53">
        <w:rPr>
          <w:rFonts w:ascii="Times New Roman" w:hAnsi="Times New Roman"/>
          <w:sz w:val="24"/>
          <w:szCs w:val="24"/>
        </w:rPr>
        <w:t>Ze samotné skutečnosti, že zákonodárce označil přezkum územního plánu za řízení, nelze dovozovat, že se jedná se o správní řízení ve smyslu § 9 správního řádu, neboť zákonodárce za řízení označil v § 172 odst. 3 správního řádu i samotný proces, ve kterém se opatření obecné povahy vydává. Je však zcela nesporné, že vydávání opatření obecné povahy je zvláštním postupem podle části šesté správního řádu, nikoli správním řízením v užším slova smyslu. Zvláštní povaha přezkoumávaného aktu vylučuje, aby se přezkum územního plánu vedl shodným způsobem jako „běžné přezkumné řízení“, resp. některá ustanovení druhé části správního řádu včetně § 95 odst. 4 správního řádu na tento postup vůbec aplikovat nelze. Jde sice o dozorčí prostředek, jeho předmětem je však dozor nad zcela jinou formou činnosti veřejné správy, než je tomu u „běžného přezkumného řízení“.</w:t>
      </w:r>
    </w:p>
    <w:p w:rsidR="00A90D53" w:rsidRDefault="00A90D53" w:rsidP="00A90D53">
      <w:pPr>
        <w:spacing w:after="0"/>
        <w:ind w:firstLine="708"/>
        <w:jc w:val="both"/>
        <w:rPr>
          <w:rFonts w:ascii="Times New Roman" w:hAnsi="Times New Roman"/>
          <w:sz w:val="24"/>
          <w:szCs w:val="24"/>
        </w:rPr>
      </w:pPr>
      <w:r w:rsidRPr="00A90D53">
        <w:rPr>
          <w:rFonts w:ascii="Times New Roman" w:hAnsi="Times New Roman"/>
          <w:sz w:val="24"/>
          <w:szCs w:val="24"/>
        </w:rPr>
        <w:t>V přezkumném řízení proto může být opatření obecné povahy rušeno (v některých případech např. u opatření vydávaných v přenesené působnosti také nahrazeno jiným) pouze právním aktem stejného druhu a vlastní přezkum územního plánu je nutno vést přiměřeně způsobu,</w:t>
      </w:r>
      <w:r>
        <w:rPr>
          <w:rFonts w:ascii="Times New Roman" w:hAnsi="Times New Roman"/>
          <w:sz w:val="24"/>
          <w:szCs w:val="24"/>
        </w:rPr>
        <w:t xml:space="preserve"> </w:t>
      </w:r>
      <w:r w:rsidRPr="00A90D53">
        <w:rPr>
          <w:rFonts w:ascii="Times New Roman" w:hAnsi="Times New Roman"/>
          <w:sz w:val="24"/>
          <w:szCs w:val="24"/>
        </w:rPr>
        <w:t>jakým se vede řízení o jeho vydání.</w:t>
      </w:r>
    </w:p>
    <w:p w:rsidR="00A90D53" w:rsidRPr="00A90D53" w:rsidRDefault="00A90D53" w:rsidP="003A5E99">
      <w:pPr>
        <w:spacing w:after="0"/>
        <w:ind w:firstLine="708"/>
        <w:jc w:val="both"/>
        <w:rPr>
          <w:rFonts w:ascii="Times New Roman" w:hAnsi="Times New Roman"/>
          <w:sz w:val="24"/>
          <w:szCs w:val="24"/>
        </w:rPr>
      </w:pPr>
      <w:r w:rsidRPr="00A90D53">
        <w:rPr>
          <w:rFonts w:ascii="Times New Roman" w:hAnsi="Times New Roman"/>
          <w:sz w:val="24"/>
          <w:szCs w:val="24"/>
        </w:rPr>
        <w:t>Výsledné „rozhodnutí o zrušení územního plánu“</w:t>
      </w:r>
      <w:r>
        <w:rPr>
          <w:rStyle w:val="Znakapoznpodarou"/>
          <w:rFonts w:ascii="Times New Roman" w:hAnsi="Times New Roman"/>
          <w:sz w:val="24"/>
          <w:szCs w:val="24"/>
        </w:rPr>
        <w:footnoteReference w:id="2"/>
      </w:r>
      <w:r w:rsidRPr="00A90D53">
        <w:rPr>
          <w:rFonts w:ascii="Times New Roman" w:hAnsi="Times New Roman"/>
          <w:sz w:val="24"/>
          <w:szCs w:val="24"/>
        </w:rPr>
        <w:t xml:space="preserve"> oznámí dozorčí orgán postupem dle § 173 odst. 1 správního řádu a účinky nastanou za přiměřeného použití § 73 odst. 1 správního řádu jeho oznámením. Proti tomuto výsledku přezkoumání pak mohou dotčené osoby obdobně jako obec podat návrh na zrušení opatření obecné povahy ve smyslu § 101a s. ř. s., </w:t>
      </w:r>
      <w:r w:rsidRPr="00A90D53">
        <w:rPr>
          <w:rFonts w:ascii="Times New Roman" w:hAnsi="Times New Roman"/>
          <w:sz w:val="24"/>
          <w:szCs w:val="24"/>
        </w:rPr>
        <w:lastRenderedPageBreak/>
        <w:t xml:space="preserve">pokud splňují podmínky pro aktivní procesní legitimaci, jak byly vyloženy v judikatuře rozšířeného senátu (srov. usnesení rozšířeného senátu ze dne 21. 7. 2009, č. j. 1 </w:t>
      </w:r>
      <w:proofErr w:type="spellStart"/>
      <w:r w:rsidRPr="00A90D53">
        <w:rPr>
          <w:rFonts w:ascii="Times New Roman" w:hAnsi="Times New Roman"/>
          <w:sz w:val="24"/>
          <w:szCs w:val="24"/>
        </w:rPr>
        <w:t>Ao</w:t>
      </w:r>
      <w:proofErr w:type="spellEnd"/>
      <w:r w:rsidRPr="00A90D53">
        <w:rPr>
          <w:rFonts w:ascii="Times New Roman" w:hAnsi="Times New Roman"/>
          <w:sz w:val="24"/>
          <w:szCs w:val="24"/>
        </w:rPr>
        <w:t xml:space="preserve"> 1/2009 - 120, č. 1910/2009 Sb. NSS), a to ve lhůtě počítané od okamžiku jeho oznámení.</w:t>
      </w:r>
    </w:p>
    <w:p w:rsidR="0057357D" w:rsidRPr="00E13B27" w:rsidRDefault="00151136" w:rsidP="00A90D53">
      <w:pPr>
        <w:pStyle w:val="StylNadpis4Ped6bZa6b"/>
      </w:pPr>
      <w:bookmarkStart w:id="3" w:name="_Toc464464501"/>
      <w:r>
        <w:t>Průzkum detektorem kovů a trest propadnutí d</w:t>
      </w:r>
      <w:r w:rsidR="00A90D53">
        <w:t>e</w:t>
      </w:r>
      <w:r>
        <w:t>tekt</w:t>
      </w:r>
      <w:r w:rsidR="00A90D53">
        <w:t>o</w:t>
      </w:r>
      <w:r>
        <w:t>ru</w:t>
      </w:r>
      <w:bookmarkEnd w:id="3"/>
      <w:r w:rsidR="00FE39B1">
        <w:t xml:space="preserve"> </w:t>
      </w:r>
    </w:p>
    <w:p w:rsidR="002456CB" w:rsidRPr="003A5E99" w:rsidRDefault="003A5E99" w:rsidP="002456CB">
      <w:pPr>
        <w:spacing w:after="0" w:line="240" w:lineRule="auto"/>
        <w:jc w:val="both"/>
        <w:rPr>
          <w:rFonts w:ascii="Times New Roman" w:hAnsi="Times New Roman"/>
          <w:b/>
          <w:sz w:val="24"/>
          <w:szCs w:val="24"/>
        </w:rPr>
      </w:pPr>
      <w:r w:rsidRPr="003A5E99">
        <w:rPr>
          <w:rFonts w:ascii="Times New Roman" w:hAnsi="Times New Roman"/>
          <w:b/>
          <w:sz w:val="24"/>
          <w:szCs w:val="24"/>
        </w:rPr>
        <w:t>Krajský soud v Ostravě, pobočka Olomouc</w:t>
      </w:r>
      <w:r w:rsidR="00FE39B1" w:rsidRPr="003A5E99">
        <w:rPr>
          <w:rFonts w:ascii="Times New Roman" w:hAnsi="Times New Roman"/>
          <w:b/>
          <w:sz w:val="24"/>
          <w:szCs w:val="24"/>
        </w:rPr>
        <w:t xml:space="preserve"> </w:t>
      </w:r>
      <w:r w:rsidR="002456CB" w:rsidRPr="003A5E99">
        <w:rPr>
          <w:rFonts w:ascii="Times New Roman" w:hAnsi="Times New Roman"/>
          <w:b/>
          <w:sz w:val="24"/>
          <w:szCs w:val="24"/>
        </w:rPr>
        <w:t xml:space="preserve">rozsudek spis. </w:t>
      </w:r>
      <w:proofErr w:type="gramStart"/>
      <w:r w:rsidR="002456CB" w:rsidRPr="003A5E99">
        <w:rPr>
          <w:rFonts w:ascii="Times New Roman" w:hAnsi="Times New Roman"/>
          <w:b/>
          <w:sz w:val="24"/>
          <w:szCs w:val="24"/>
        </w:rPr>
        <w:t>zn.</w:t>
      </w:r>
      <w:proofErr w:type="gramEnd"/>
      <w:r w:rsidR="002456CB" w:rsidRPr="003A5E99">
        <w:rPr>
          <w:rFonts w:ascii="Times New Roman" w:hAnsi="Times New Roman"/>
          <w:b/>
          <w:sz w:val="24"/>
          <w:szCs w:val="24"/>
        </w:rPr>
        <w:t xml:space="preserve"> </w:t>
      </w:r>
      <w:r w:rsidRPr="003A5E99">
        <w:rPr>
          <w:rFonts w:ascii="Times New Roman" w:hAnsi="Times New Roman"/>
          <w:b/>
          <w:sz w:val="24"/>
          <w:szCs w:val="24"/>
        </w:rPr>
        <w:t>76 A 35/2012 - 51</w:t>
      </w:r>
      <w:r w:rsidR="00FA7692">
        <w:rPr>
          <w:rStyle w:val="Znakapoznpodarou"/>
          <w:rFonts w:ascii="Times New Roman" w:hAnsi="Times New Roman"/>
          <w:b/>
          <w:sz w:val="24"/>
          <w:szCs w:val="24"/>
        </w:rPr>
        <w:footnoteReference w:id="3"/>
      </w:r>
      <w:r w:rsidR="002456CB" w:rsidRPr="003A5E99">
        <w:rPr>
          <w:rFonts w:ascii="Times New Roman" w:hAnsi="Times New Roman"/>
          <w:b/>
          <w:sz w:val="24"/>
          <w:szCs w:val="24"/>
        </w:rPr>
        <w:t xml:space="preserve"> (</w:t>
      </w:r>
      <w:r w:rsidRPr="003A5E99">
        <w:rPr>
          <w:rFonts w:ascii="Times New Roman" w:hAnsi="Times New Roman"/>
          <w:b/>
          <w:sz w:val="24"/>
          <w:szCs w:val="24"/>
        </w:rPr>
        <w:t>D124</w:t>
      </w:r>
      <w:r w:rsidR="002456CB" w:rsidRPr="003A5E99">
        <w:rPr>
          <w:rFonts w:ascii="Times New Roman" w:hAnsi="Times New Roman"/>
          <w:b/>
          <w:sz w:val="24"/>
          <w:szCs w:val="24"/>
        </w:rPr>
        <w:t>)</w:t>
      </w:r>
    </w:p>
    <w:p w:rsidR="00E13B27" w:rsidRPr="00E13B27" w:rsidRDefault="002456CB" w:rsidP="003A4F97">
      <w:pPr>
        <w:spacing w:after="0"/>
        <w:jc w:val="both"/>
        <w:rPr>
          <w:rFonts w:ascii="Times New Roman" w:hAnsi="Times New Roman"/>
          <w:b/>
          <w:sz w:val="24"/>
          <w:szCs w:val="24"/>
        </w:rPr>
      </w:pPr>
      <w:r w:rsidRPr="003A5E99">
        <w:rPr>
          <w:rFonts w:ascii="Times New Roman" w:hAnsi="Times New Roman"/>
          <w:b/>
          <w:sz w:val="24"/>
          <w:szCs w:val="24"/>
        </w:rPr>
        <w:t>v</w:t>
      </w:r>
      <w:r w:rsidR="00E13B27" w:rsidRPr="003A5E99">
        <w:rPr>
          <w:rFonts w:ascii="Times New Roman" w:hAnsi="Times New Roman"/>
          <w:b/>
          <w:sz w:val="24"/>
          <w:szCs w:val="24"/>
        </w:rPr>
        <w:t>ybrané části judikátu:</w:t>
      </w:r>
    </w:p>
    <w:p w:rsidR="003A5E99" w:rsidRPr="003A5E99" w:rsidRDefault="003A5E99" w:rsidP="003A5E99">
      <w:pPr>
        <w:spacing w:after="0"/>
        <w:ind w:firstLine="708"/>
        <w:jc w:val="both"/>
        <w:rPr>
          <w:rFonts w:ascii="Times New Roman" w:hAnsi="Times New Roman"/>
          <w:sz w:val="24"/>
          <w:szCs w:val="24"/>
        </w:rPr>
      </w:pPr>
      <w:r w:rsidRPr="003A5E99">
        <w:rPr>
          <w:rFonts w:ascii="Times New Roman" w:hAnsi="Times New Roman"/>
          <w:sz w:val="24"/>
          <w:szCs w:val="24"/>
        </w:rPr>
        <w:t xml:space="preserve">… soud konstatuje, že žádný právní předpis neukládá žádnému konkrétnímu orgánu veřejné moci, aby konkrétním způsobem vymezil archeologické lokality. Tuto povinnost neukládá ani Úmluva o ochraně archeologického dědictví Evropy, </w:t>
      </w:r>
      <w:proofErr w:type="spellStart"/>
      <w:r w:rsidRPr="003A5E99">
        <w:rPr>
          <w:rFonts w:ascii="Times New Roman" w:hAnsi="Times New Roman"/>
          <w:sz w:val="24"/>
          <w:szCs w:val="24"/>
        </w:rPr>
        <w:t>publ</w:t>
      </w:r>
      <w:proofErr w:type="spellEnd"/>
      <w:r w:rsidRPr="003A5E99">
        <w:rPr>
          <w:rFonts w:ascii="Times New Roman" w:hAnsi="Times New Roman"/>
          <w:sz w:val="24"/>
          <w:szCs w:val="24"/>
        </w:rPr>
        <w:t xml:space="preserve">. </w:t>
      </w:r>
      <w:proofErr w:type="gramStart"/>
      <w:r w:rsidRPr="003A5E99">
        <w:rPr>
          <w:rFonts w:ascii="Times New Roman" w:hAnsi="Times New Roman"/>
          <w:sz w:val="24"/>
          <w:szCs w:val="24"/>
        </w:rPr>
        <w:t>pod</w:t>
      </w:r>
      <w:proofErr w:type="gramEnd"/>
      <w:r w:rsidRPr="003A5E99">
        <w:rPr>
          <w:rFonts w:ascii="Times New Roman" w:hAnsi="Times New Roman"/>
          <w:sz w:val="24"/>
          <w:szCs w:val="24"/>
        </w:rPr>
        <w:t xml:space="preserve"> č. 99/2000 Sb. m. s. (dále „Úmluva“, zvaná též Maltská konvence). … Ostatně, sám žalobce policistům v den spáchání přestupku při vysvětlení na služebně sdělil, že se o této lokalitě dozvěděl z časopisu Archeologické rozhledy a z internetu, a rovněž o tom svědčí samotná skutečnost, že se ze svého bydliště v Praze vypravil do tohoto místa vzdáleného od jeho bydliště cestou motorovým vozidlem 258 km (vzato z mapy.cz, nejrychlejší trasa). Za takové situace je námitka neoznačení lokality zcela bezpředmětná.</w:t>
      </w:r>
    </w:p>
    <w:p w:rsidR="003A5E99" w:rsidRPr="003A5E99" w:rsidRDefault="003A5E99" w:rsidP="003A5E99">
      <w:pPr>
        <w:spacing w:after="0"/>
        <w:ind w:firstLine="708"/>
        <w:jc w:val="both"/>
        <w:rPr>
          <w:rFonts w:ascii="Times New Roman" w:hAnsi="Times New Roman"/>
          <w:sz w:val="24"/>
          <w:szCs w:val="24"/>
        </w:rPr>
      </w:pPr>
      <w:r w:rsidRPr="003A5E99">
        <w:rPr>
          <w:rFonts w:ascii="Times New Roman" w:hAnsi="Times New Roman"/>
          <w:sz w:val="24"/>
          <w:szCs w:val="24"/>
        </w:rPr>
        <w:t>Z provedeného dokazování vyplývá, že žalobce věděl, že se nachází v archeologicky významné lokalitě, jak bylo uvedeno výše, a dále, že věděl, že svým jednáním může porušit nebo ohrozit zájem chráněný zákonem, protože sám žádal (jak uvedl při podání vysvětlení Policii ČR v den spáchání přestupku) v roce 1995 o povolení provádět archeologický výzkum, ale nedostal ho, nemá ho. Jinými slovy, žalobce přesně věděl a byl srozuměn s tím, že archeologický výzkum nemůže provádět, aniž by k tomu měl příslušné povolení orgánů veřejné moci.</w:t>
      </w:r>
    </w:p>
    <w:p w:rsidR="003A5E99" w:rsidRPr="003A5E99" w:rsidRDefault="003A5E99" w:rsidP="003A5E99">
      <w:pPr>
        <w:spacing w:after="0"/>
        <w:ind w:firstLine="708"/>
        <w:jc w:val="both"/>
        <w:rPr>
          <w:rFonts w:ascii="Times New Roman" w:hAnsi="Times New Roman"/>
          <w:sz w:val="24"/>
          <w:szCs w:val="24"/>
        </w:rPr>
      </w:pPr>
      <w:r w:rsidRPr="003A5E99">
        <w:rPr>
          <w:rFonts w:ascii="Times New Roman" w:hAnsi="Times New Roman"/>
          <w:sz w:val="24"/>
          <w:szCs w:val="24"/>
        </w:rPr>
        <w:t>Soud konstatuje, že vyhodnocení skutkového stavu správními orgány tak, že žalobce (i druhý obviněný) prováděli archeologický průzkum funkčními a zapnutým přístroji logicky odpovídá zpozorovaným pohybům s detektory a chováním obou obviněných. Žalobce proti této verzi nepostavil žádnou svou verzi, žádnou obhajobu, neposkytl žádné tvrzení ani důkaz, proč pohyboval detektorem zprava doleva v půl kruhu před sebou opakovaně do doby, než zpozorovali přítomnost policejní hlídky.</w:t>
      </w:r>
    </w:p>
    <w:p w:rsidR="003A5E99" w:rsidRPr="003A5E99" w:rsidRDefault="003A5E99" w:rsidP="003A5E99">
      <w:pPr>
        <w:spacing w:after="0"/>
        <w:ind w:firstLine="708"/>
        <w:jc w:val="both"/>
        <w:rPr>
          <w:rFonts w:ascii="Times New Roman" w:hAnsi="Times New Roman"/>
          <w:sz w:val="24"/>
          <w:szCs w:val="24"/>
        </w:rPr>
      </w:pPr>
      <w:r w:rsidRPr="003A5E99">
        <w:rPr>
          <w:rFonts w:ascii="Times New Roman" w:hAnsi="Times New Roman"/>
          <w:sz w:val="24"/>
          <w:szCs w:val="24"/>
        </w:rPr>
        <w:t>… policisté neměli zájem na tom, aby žalobce poškodili, k tomu nebyla zjištěna ex offo ve správním řízení a ani žalobcem dosud namítnutá žádná konkrétní skutečnost.</w:t>
      </w:r>
    </w:p>
    <w:p w:rsidR="003A5E99" w:rsidRPr="003A5E99" w:rsidRDefault="003A5E99" w:rsidP="003A5E99">
      <w:pPr>
        <w:spacing w:after="0"/>
        <w:ind w:firstLine="708"/>
        <w:jc w:val="both"/>
        <w:rPr>
          <w:rFonts w:ascii="Times New Roman" w:hAnsi="Times New Roman"/>
          <w:sz w:val="24"/>
          <w:szCs w:val="24"/>
        </w:rPr>
      </w:pPr>
      <w:r w:rsidRPr="003A5E99">
        <w:rPr>
          <w:rFonts w:ascii="Times New Roman" w:hAnsi="Times New Roman"/>
          <w:sz w:val="24"/>
          <w:szCs w:val="24"/>
        </w:rPr>
        <w:t>Soud podotýká, že není podstatné, jestli detektory byly zapnuty či nikoliv, protože archeologický průzkum lze provádět i bez jejich použití.</w:t>
      </w:r>
    </w:p>
    <w:p w:rsidR="003A5E99" w:rsidRPr="003A5E99" w:rsidRDefault="003A5E99" w:rsidP="003A5E99">
      <w:pPr>
        <w:spacing w:after="0"/>
        <w:ind w:firstLine="708"/>
        <w:jc w:val="both"/>
        <w:rPr>
          <w:rFonts w:ascii="Times New Roman" w:hAnsi="Times New Roman"/>
          <w:sz w:val="24"/>
          <w:szCs w:val="24"/>
        </w:rPr>
      </w:pPr>
      <w:r w:rsidRPr="003A5E99">
        <w:rPr>
          <w:rFonts w:ascii="Times New Roman" w:hAnsi="Times New Roman"/>
          <w:sz w:val="24"/>
          <w:szCs w:val="24"/>
        </w:rPr>
        <w:t xml:space="preserve">Soud shledal jako nedůvodnou i námitku o nepřiměřené výši sankce. … Žalobci byla uložena pokuta ve výši 2.000 Kč, což je na samé spodní hranici zákonem stanové sazby. Již pro tuto samotnou skutečnost nelze vůbec hovořit o nepřiměřené sankci. Souladný se zákonem, přiměřený a řádně odůvodněný byl i výrok o propadnutí vyjmenovaných věcí, které byly použity ke spáchání přestupku </w:t>
      </w:r>
      <w:r w:rsidRPr="003A5E99">
        <w:rPr>
          <w:rFonts w:ascii="Times New Roman" w:hAnsi="Times New Roman"/>
          <w:i/>
          <w:sz w:val="24"/>
          <w:szCs w:val="24"/>
        </w:rPr>
        <w:t>[šlo o detektory kovů, sluchátka</w:t>
      </w:r>
      <w:r w:rsidR="00A740AE">
        <w:rPr>
          <w:rFonts w:ascii="Times New Roman" w:hAnsi="Times New Roman"/>
          <w:i/>
          <w:sz w:val="24"/>
          <w:szCs w:val="24"/>
        </w:rPr>
        <w:t>,</w:t>
      </w:r>
      <w:r w:rsidRPr="003A5E99">
        <w:rPr>
          <w:rFonts w:ascii="Times New Roman" w:hAnsi="Times New Roman"/>
          <w:i/>
          <w:sz w:val="24"/>
          <w:szCs w:val="24"/>
        </w:rPr>
        <w:t xml:space="preserve"> krumpáče, pozn. Ministerstva kultury]</w:t>
      </w:r>
      <w:r w:rsidRPr="003A5E99">
        <w:rPr>
          <w:rFonts w:ascii="Times New Roman" w:hAnsi="Times New Roman"/>
          <w:sz w:val="24"/>
          <w:szCs w:val="24"/>
        </w:rPr>
        <w:t>.</w:t>
      </w:r>
    </w:p>
    <w:p w:rsidR="002456CB" w:rsidRDefault="00151136" w:rsidP="00CD7F0F">
      <w:pPr>
        <w:pStyle w:val="StylNadpis4Ped6bZa6b"/>
      </w:pPr>
      <w:bookmarkStart w:id="4" w:name="_Toc464464502"/>
      <w:r>
        <w:lastRenderedPageBreak/>
        <w:t>Ochrana vlastnictví v případě černé stavby</w:t>
      </w:r>
      <w:bookmarkEnd w:id="4"/>
      <w:r w:rsidR="0057357D" w:rsidRPr="00E13B27">
        <w:t xml:space="preserve"> </w:t>
      </w:r>
    </w:p>
    <w:p w:rsidR="00151136" w:rsidRPr="003A5E99" w:rsidRDefault="005E6559" w:rsidP="00151136">
      <w:pPr>
        <w:spacing w:after="0" w:line="240" w:lineRule="auto"/>
        <w:jc w:val="both"/>
        <w:rPr>
          <w:rFonts w:ascii="Times New Roman" w:hAnsi="Times New Roman"/>
          <w:b/>
          <w:sz w:val="24"/>
          <w:szCs w:val="24"/>
        </w:rPr>
      </w:pPr>
      <w:r w:rsidRPr="005E6559">
        <w:rPr>
          <w:rFonts w:ascii="Times New Roman" w:hAnsi="Times New Roman"/>
          <w:b/>
          <w:sz w:val="24"/>
          <w:szCs w:val="24"/>
        </w:rPr>
        <w:t>Krajský</w:t>
      </w:r>
      <w:r w:rsidR="00151136" w:rsidRPr="005E6559">
        <w:rPr>
          <w:rFonts w:ascii="Times New Roman" w:hAnsi="Times New Roman"/>
          <w:b/>
          <w:sz w:val="24"/>
          <w:szCs w:val="24"/>
        </w:rPr>
        <w:t xml:space="preserve"> soud </w:t>
      </w:r>
      <w:r w:rsidRPr="005E6559">
        <w:rPr>
          <w:rFonts w:ascii="Times New Roman" w:hAnsi="Times New Roman"/>
          <w:b/>
          <w:sz w:val="24"/>
          <w:szCs w:val="24"/>
        </w:rPr>
        <w:t xml:space="preserve">v Praze </w:t>
      </w:r>
      <w:r w:rsidR="00151136" w:rsidRPr="003A5E99">
        <w:rPr>
          <w:rFonts w:ascii="Times New Roman" w:hAnsi="Times New Roman"/>
          <w:b/>
          <w:sz w:val="24"/>
          <w:szCs w:val="24"/>
        </w:rPr>
        <w:t xml:space="preserve">rozsudek spis. </w:t>
      </w:r>
      <w:proofErr w:type="gramStart"/>
      <w:r w:rsidR="00151136" w:rsidRPr="003A5E99">
        <w:rPr>
          <w:rFonts w:ascii="Times New Roman" w:hAnsi="Times New Roman"/>
          <w:b/>
          <w:sz w:val="24"/>
          <w:szCs w:val="24"/>
        </w:rPr>
        <w:t>zn.</w:t>
      </w:r>
      <w:proofErr w:type="gramEnd"/>
      <w:r w:rsidR="00151136" w:rsidRPr="003A5E99">
        <w:rPr>
          <w:rFonts w:ascii="Times New Roman" w:hAnsi="Times New Roman"/>
          <w:b/>
          <w:sz w:val="24"/>
          <w:szCs w:val="24"/>
        </w:rPr>
        <w:t xml:space="preserve"> </w:t>
      </w:r>
      <w:r w:rsidR="003A5E99" w:rsidRPr="003A5E99">
        <w:rPr>
          <w:rFonts w:ascii="Times New Roman" w:hAnsi="Times New Roman"/>
          <w:b/>
          <w:sz w:val="24"/>
          <w:szCs w:val="24"/>
        </w:rPr>
        <w:t>45 A 30/2014 - 39</w:t>
      </w:r>
      <w:r w:rsidR="00FA7692">
        <w:rPr>
          <w:rStyle w:val="Znakapoznpodarou"/>
          <w:rFonts w:ascii="Times New Roman" w:hAnsi="Times New Roman"/>
          <w:b/>
          <w:sz w:val="24"/>
          <w:szCs w:val="24"/>
        </w:rPr>
        <w:footnoteReference w:id="4"/>
      </w:r>
      <w:r w:rsidR="00151136" w:rsidRPr="003A5E99">
        <w:rPr>
          <w:rFonts w:ascii="Times New Roman" w:hAnsi="Times New Roman"/>
          <w:b/>
          <w:sz w:val="24"/>
          <w:szCs w:val="24"/>
        </w:rPr>
        <w:t xml:space="preserve"> (</w:t>
      </w:r>
      <w:r w:rsidRPr="005E6559">
        <w:rPr>
          <w:rFonts w:ascii="Times New Roman" w:hAnsi="Times New Roman"/>
          <w:b/>
          <w:sz w:val="24"/>
          <w:szCs w:val="24"/>
        </w:rPr>
        <w:t>D134</w:t>
      </w:r>
      <w:r w:rsidR="00151136" w:rsidRPr="003A5E99">
        <w:rPr>
          <w:rFonts w:ascii="Times New Roman" w:hAnsi="Times New Roman"/>
          <w:b/>
          <w:sz w:val="24"/>
          <w:szCs w:val="24"/>
        </w:rPr>
        <w:t>)</w:t>
      </w:r>
    </w:p>
    <w:p w:rsidR="00CD7F0F" w:rsidRPr="003A5E99" w:rsidRDefault="00151136" w:rsidP="00151136">
      <w:pPr>
        <w:spacing w:after="0" w:line="240" w:lineRule="auto"/>
        <w:jc w:val="both"/>
        <w:rPr>
          <w:rFonts w:ascii="Times New Roman" w:hAnsi="Times New Roman"/>
          <w:b/>
          <w:sz w:val="24"/>
          <w:szCs w:val="24"/>
        </w:rPr>
      </w:pPr>
      <w:r w:rsidRPr="003A5E99">
        <w:rPr>
          <w:rFonts w:ascii="Times New Roman" w:hAnsi="Times New Roman"/>
          <w:b/>
          <w:sz w:val="24"/>
          <w:szCs w:val="24"/>
        </w:rPr>
        <w:t>vybrané části judikátu:</w:t>
      </w:r>
    </w:p>
    <w:p w:rsidR="003A5E99" w:rsidRPr="003A5E99" w:rsidRDefault="003A5E99" w:rsidP="003A5E99">
      <w:pPr>
        <w:spacing w:after="0"/>
        <w:ind w:firstLine="708"/>
        <w:jc w:val="both"/>
        <w:rPr>
          <w:rFonts w:ascii="Times New Roman" w:hAnsi="Times New Roman"/>
          <w:sz w:val="24"/>
          <w:szCs w:val="24"/>
        </w:rPr>
      </w:pPr>
      <w:r>
        <w:rPr>
          <w:rFonts w:ascii="Times New Roman" w:hAnsi="Times New Roman"/>
          <w:sz w:val="24"/>
          <w:szCs w:val="24"/>
        </w:rPr>
        <w:t>J</w:t>
      </w:r>
      <w:r w:rsidRPr="003A5E99">
        <w:rPr>
          <w:rFonts w:ascii="Times New Roman" w:hAnsi="Times New Roman"/>
          <w:sz w:val="24"/>
          <w:szCs w:val="24"/>
        </w:rPr>
        <w:t xml:space="preserve">e samozřejmě pravdou, že ochrana vlastnického práva stavebníka černé stavby je významně omezena. … „Úvaha navrhovatele o tom, že nepovolenou stavbou vytvořil dílo, jehož vlastnictví podléhá ochraně, je chybná. Navrhovatel se pokusil obejít složité správní řízení, jehož výsledek by mu nebyl zřejmě příznivý a postavil správní orgány </w:t>
      </w:r>
      <w:r w:rsidR="00A740AE">
        <w:rPr>
          <w:rFonts w:ascii="Times New Roman" w:hAnsi="Times New Roman"/>
          <w:sz w:val="24"/>
          <w:szCs w:val="24"/>
        </w:rPr>
        <w:t>„</w:t>
      </w:r>
      <w:r w:rsidRPr="003A5E99">
        <w:rPr>
          <w:rFonts w:ascii="Times New Roman" w:hAnsi="Times New Roman"/>
          <w:sz w:val="24"/>
          <w:szCs w:val="24"/>
        </w:rPr>
        <w:t>před hotovou věc</w:t>
      </w:r>
      <w:r w:rsidR="00A740AE">
        <w:rPr>
          <w:rFonts w:ascii="Times New Roman" w:hAnsi="Times New Roman"/>
          <w:sz w:val="24"/>
          <w:szCs w:val="24"/>
        </w:rPr>
        <w:t>“</w:t>
      </w:r>
      <w:r w:rsidRPr="003A5E99">
        <w:rPr>
          <w:rFonts w:ascii="Times New Roman" w:hAnsi="Times New Roman"/>
          <w:sz w:val="24"/>
          <w:szCs w:val="24"/>
        </w:rPr>
        <w:t xml:space="preserve">, spoléhaje na to, že stavebnímu úřadu nezbude nic jiného, než akceptovat status quo. … Vlastnické právo je absolutním právem, které působí </w:t>
      </w:r>
      <w:proofErr w:type="spellStart"/>
      <w:r w:rsidRPr="003A5E99">
        <w:rPr>
          <w:rFonts w:ascii="Times New Roman" w:hAnsi="Times New Roman"/>
          <w:sz w:val="24"/>
          <w:szCs w:val="24"/>
        </w:rPr>
        <w:t>erga</w:t>
      </w:r>
      <w:proofErr w:type="spellEnd"/>
      <w:r w:rsidRPr="003A5E99">
        <w:rPr>
          <w:rFonts w:ascii="Times New Roman" w:hAnsi="Times New Roman"/>
          <w:sz w:val="24"/>
          <w:szCs w:val="24"/>
        </w:rPr>
        <w:t xml:space="preserve"> </w:t>
      </w:r>
      <w:proofErr w:type="spellStart"/>
      <w:r w:rsidRPr="003A5E99">
        <w:rPr>
          <w:rFonts w:ascii="Times New Roman" w:hAnsi="Times New Roman"/>
          <w:sz w:val="24"/>
          <w:szCs w:val="24"/>
        </w:rPr>
        <w:t>omnes</w:t>
      </w:r>
      <w:proofErr w:type="spellEnd"/>
      <w:r w:rsidRPr="003A5E99">
        <w:rPr>
          <w:rFonts w:ascii="Times New Roman" w:hAnsi="Times New Roman"/>
          <w:sz w:val="24"/>
          <w:szCs w:val="24"/>
        </w:rPr>
        <w:t xml:space="preserve">. Ochranu je mu však možno poskytnout pouze tehdy, pokud bylo nabyto v souladu se zákonem, což se nestalo. </w:t>
      </w:r>
    </w:p>
    <w:p w:rsidR="0057357D" w:rsidRPr="00B101F9" w:rsidRDefault="005E6559" w:rsidP="00E13B27">
      <w:pPr>
        <w:pStyle w:val="StylNadpis4Ped6bZa6b"/>
      </w:pPr>
      <w:bookmarkStart w:id="5" w:name="_Toc464464503"/>
      <w:r>
        <w:t>Nikdo nesmí být v sankčním řízení nucen k tomu, aby se sám obvinil (</w:t>
      </w:r>
      <w:proofErr w:type="spellStart"/>
      <w:r>
        <w:t>nemo</w:t>
      </w:r>
      <w:proofErr w:type="spellEnd"/>
      <w:r>
        <w:t xml:space="preserve"> </w:t>
      </w:r>
      <w:proofErr w:type="spellStart"/>
      <w:r>
        <w:t>tenetur</w:t>
      </w:r>
      <w:proofErr w:type="spellEnd"/>
      <w:r>
        <w:t>)</w:t>
      </w:r>
      <w:bookmarkEnd w:id="5"/>
    </w:p>
    <w:p w:rsidR="00C46C56" w:rsidRDefault="005E6559" w:rsidP="00503CA5">
      <w:pPr>
        <w:spacing w:after="0"/>
        <w:jc w:val="both"/>
        <w:rPr>
          <w:rFonts w:ascii="Times New Roman" w:hAnsi="Times New Roman"/>
          <w:b/>
          <w:sz w:val="24"/>
          <w:szCs w:val="24"/>
        </w:rPr>
      </w:pPr>
      <w:r>
        <w:rPr>
          <w:rFonts w:ascii="Times New Roman" w:hAnsi="Times New Roman"/>
          <w:b/>
          <w:sz w:val="24"/>
          <w:szCs w:val="24"/>
        </w:rPr>
        <w:t>Krajský soud v Praze</w:t>
      </w:r>
      <w:r w:rsidR="00FE39B1">
        <w:rPr>
          <w:rFonts w:ascii="Times New Roman" w:hAnsi="Times New Roman"/>
          <w:b/>
          <w:sz w:val="24"/>
          <w:szCs w:val="24"/>
        </w:rPr>
        <w:t xml:space="preserve"> </w:t>
      </w:r>
      <w:r w:rsidR="00FE39B1" w:rsidRPr="002456CB">
        <w:rPr>
          <w:rFonts w:ascii="Times New Roman" w:hAnsi="Times New Roman"/>
          <w:b/>
          <w:sz w:val="24"/>
          <w:szCs w:val="24"/>
        </w:rPr>
        <w:t xml:space="preserve">rozsudek </w:t>
      </w:r>
      <w:r w:rsidR="00FE39B1" w:rsidRPr="00FA7692">
        <w:rPr>
          <w:rFonts w:ascii="Times New Roman" w:hAnsi="Times New Roman"/>
          <w:b/>
          <w:sz w:val="24"/>
          <w:szCs w:val="24"/>
        </w:rPr>
        <w:t xml:space="preserve">spis. </w:t>
      </w:r>
      <w:proofErr w:type="gramStart"/>
      <w:r w:rsidR="00FE39B1" w:rsidRPr="00FA7692">
        <w:rPr>
          <w:rFonts w:ascii="Times New Roman" w:hAnsi="Times New Roman"/>
          <w:b/>
          <w:sz w:val="24"/>
          <w:szCs w:val="24"/>
        </w:rPr>
        <w:t>zn.</w:t>
      </w:r>
      <w:proofErr w:type="gramEnd"/>
      <w:r w:rsidR="00FE39B1" w:rsidRPr="00FA7692">
        <w:rPr>
          <w:rFonts w:ascii="Times New Roman" w:hAnsi="Times New Roman"/>
          <w:b/>
          <w:sz w:val="24"/>
          <w:szCs w:val="24"/>
        </w:rPr>
        <w:t xml:space="preserve"> </w:t>
      </w:r>
      <w:r w:rsidR="00FA7692" w:rsidRPr="00FA7692">
        <w:rPr>
          <w:rFonts w:ascii="Times New Roman" w:hAnsi="Times New Roman"/>
          <w:b/>
          <w:sz w:val="24"/>
          <w:szCs w:val="24"/>
        </w:rPr>
        <w:t>51 A 21/2013 - 46</w:t>
      </w:r>
      <w:r w:rsidR="00FA7692">
        <w:rPr>
          <w:rStyle w:val="Znakapoznpodarou"/>
          <w:rFonts w:ascii="Times New Roman" w:hAnsi="Times New Roman"/>
          <w:b/>
          <w:sz w:val="24"/>
          <w:szCs w:val="24"/>
        </w:rPr>
        <w:footnoteReference w:id="5"/>
      </w:r>
      <w:r w:rsidR="00CD7F0F">
        <w:rPr>
          <w:rFonts w:ascii="Times New Roman" w:hAnsi="Times New Roman"/>
          <w:b/>
          <w:sz w:val="24"/>
          <w:szCs w:val="24"/>
        </w:rPr>
        <w:t xml:space="preserve"> </w:t>
      </w:r>
      <w:r w:rsidR="00FE39B1">
        <w:rPr>
          <w:rFonts w:ascii="Times New Roman" w:hAnsi="Times New Roman"/>
          <w:b/>
          <w:sz w:val="24"/>
          <w:szCs w:val="24"/>
        </w:rPr>
        <w:t>(</w:t>
      </w:r>
      <w:r>
        <w:rPr>
          <w:rFonts w:ascii="Times New Roman" w:hAnsi="Times New Roman"/>
          <w:b/>
          <w:sz w:val="24"/>
          <w:szCs w:val="24"/>
        </w:rPr>
        <w:t>D</w:t>
      </w:r>
      <w:r w:rsidR="00FE39B1">
        <w:rPr>
          <w:rFonts w:ascii="Times New Roman" w:hAnsi="Times New Roman"/>
          <w:b/>
          <w:sz w:val="24"/>
          <w:szCs w:val="24"/>
        </w:rPr>
        <w:t>12</w:t>
      </w:r>
      <w:r>
        <w:rPr>
          <w:rFonts w:ascii="Times New Roman" w:hAnsi="Times New Roman"/>
          <w:b/>
          <w:sz w:val="24"/>
          <w:szCs w:val="24"/>
        </w:rPr>
        <w:t>6</w:t>
      </w:r>
      <w:r w:rsidR="00FE39B1">
        <w:rPr>
          <w:rFonts w:ascii="Times New Roman" w:hAnsi="Times New Roman"/>
          <w:b/>
          <w:sz w:val="24"/>
          <w:szCs w:val="24"/>
        </w:rPr>
        <w:t>)</w:t>
      </w:r>
    </w:p>
    <w:p w:rsidR="00CD7F0F" w:rsidRPr="00CD7F0F" w:rsidRDefault="00503CA5" w:rsidP="00FE39B1">
      <w:pPr>
        <w:spacing w:after="0"/>
        <w:jc w:val="both"/>
        <w:rPr>
          <w:rFonts w:ascii="Times New Roman" w:hAnsi="Times New Roman"/>
          <w:b/>
          <w:sz w:val="24"/>
          <w:szCs w:val="24"/>
        </w:rPr>
      </w:pPr>
      <w:r>
        <w:rPr>
          <w:rFonts w:ascii="Times New Roman" w:hAnsi="Times New Roman"/>
          <w:b/>
          <w:sz w:val="24"/>
          <w:szCs w:val="24"/>
        </w:rPr>
        <w:t>v</w:t>
      </w:r>
      <w:r w:rsidR="00CD7F0F" w:rsidRPr="00CD7F0F">
        <w:rPr>
          <w:rFonts w:ascii="Times New Roman" w:hAnsi="Times New Roman"/>
          <w:b/>
          <w:sz w:val="24"/>
          <w:szCs w:val="24"/>
        </w:rPr>
        <w:t>ybrané části judikátu:</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V oznámení bylo uvedeno, čeho se měl žalobce dopustit a rovněž to, že mu může být uložena pokuta podle ustanovení § 39 odst. 1 písm. g) památkového zákona. … Soud má tedy za to, že z oznámení jako celku, především z odkazu na citované ustanovení památkového zákona je zcela zřejmé, že řízení, jež bylo se žalobcem zahajováno, je řízením přestupkovým.</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Žalobce dále namítl, že správní orgán prvního stupně prováděl dokazování až po ústním jednání, čímž odepřel žalobci možnost reagovat na důkazy při ústním jednání. Tato námitka je důvodná. V projednávané věci je nesporné, že na ústním jednání dne 14. 12. 2012 nebyly předloženy správním orgánem prvního stupně žádné důkazy, které byly získány až následně. … Provedl</w:t>
      </w:r>
      <w:r w:rsidR="00A740AE">
        <w:rPr>
          <w:rFonts w:ascii="Times New Roman" w:hAnsi="Times New Roman"/>
          <w:sz w:val="24"/>
          <w:szCs w:val="24"/>
        </w:rPr>
        <w:t>-</w:t>
      </w:r>
      <w:r w:rsidRPr="00FA7692">
        <w:rPr>
          <w:rFonts w:ascii="Times New Roman" w:hAnsi="Times New Roman"/>
          <w:sz w:val="24"/>
          <w:szCs w:val="24"/>
        </w:rPr>
        <w:t xml:space="preserve">li tedy některé důkazy mimo ústní jednání s odkazem na § 51 odst. 2 správního řádu, aplikoval na řízení právní normu, která na přestupkové řízení nedopadá, neboť úprava přestupkového řízení je lex </w:t>
      </w:r>
      <w:proofErr w:type="spellStart"/>
      <w:r w:rsidRPr="00FA7692">
        <w:rPr>
          <w:rFonts w:ascii="Times New Roman" w:hAnsi="Times New Roman"/>
          <w:sz w:val="24"/>
          <w:szCs w:val="24"/>
        </w:rPr>
        <w:t>specialis</w:t>
      </w:r>
      <w:proofErr w:type="spellEnd"/>
      <w:r w:rsidRPr="00FA7692">
        <w:rPr>
          <w:rFonts w:ascii="Times New Roman" w:hAnsi="Times New Roman"/>
          <w:sz w:val="24"/>
          <w:szCs w:val="24"/>
        </w:rPr>
        <w:t xml:space="preserve"> k obecné úpravě správního řízení podle správního řádu.</w:t>
      </w:r>
    </w:p>
    <w:p w:rsidR="003D520D"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Žalobce dále namítl porušení zásady </w:t>
      </w:r>
      <w:proofErr w:type="spellStart"/>
      <w:r w:rsidRPr="00FA7692">
        <w:rPr>
          <w:rFonts w:ascii="Times New Roman" w:hAnsi="Times New Roman"/>
          <w:sz w:val="24"/>
          <w:szCs w:val="24"/>
        </w:rPr>
        <w:t>nemo</w:t>
      </w:r>
      <w:proofErr w:type="spellEnd"/>
      <w:r w:rsidRPr="00FA7692">
        <w:rPr>
          <w:rFonts w:ascii="Times New Roman" w:hAnsi="Times New Roman"/>
          <w:sz w:val="24"/>
          <w:szCs w:val="24"/>
        </w:rPr>
        <w:t xml:space="preserve"> </w:t>
      </w:r>
      <w:proofErr w:type="spellStart"/>
      <w:r w:rsidRPr="00FA7692">
        <w:rPr>
          <w:rFonts w:ascii="Times New Roman" w:hAnsi="Times New Roman"/>
          <w:sz w:val="24"/>
          <w:szCs w:val="24"/>
        </w:rPr>
        <w:t>tenetur</w:t>
      </w:r>
      <w:proofErr w:type="spellEnd"/>
      <w:r w:rsidRPr="00FA7692">
        <w:rPr>
          <w:rFonts w:ascii="Times New Roman" w:hAnsi="Times New Roman"/>
          <w:sz w:val="24"/>
          <w:szCs w:val="24"/>
        </w:rPr>
        <w:t xml:space="preserve">. I této námitce soud přisvědčil. V projednávané věci je nesporné, že žalobce byl vyzván k předložení několika listin a zároveň mu bylo sděleno, že v případě neuposlechnutí mu může být uložena pořádková pokuta. Tento postup správního orgánu prvního stupně pokládá soud za vůbec nejzásadnější vadu celého řízení, jelikož se jedná o zcela evidentní porušení ústavněprávní zásady (vyjádřené rovněž v ustanovení § 73 zákona o přestupcích) </w:t>
      </w:r>
      <w:proofErr w:type="spellStart"/>
      <w:r w:rsidRPr="00FA7692">
        <w:rPr>
          <w:rFonts w:ascii="Times New Roman" w:hAnsi="Times New Roman"/>
          <w:sz w:val="24"/>
          <w:szCs w:val="24"/>
        </w:rPr>
        <w:t>nemo</w:t>
      </w:r>
      <w:proofErr w:type="spellEnd"/>
      <w:r w:rsidRPr="00FA7692">
        <w:rPr>
          <w:rFonts w:ascii="Times New Roman" w:hAnsi="Times New Roman"/>
          <w:sz w:val="24"/>
          <w:szCs w:val="24"/>
        </w:rPr>
        <w:t xml:space="preserve"> </w:t>
      </w:r>
      <w:proofErr w:type="spellStart"/>
      <w:r w:rsidRPr="00FA7692">
        <w:rPr>
          <w:rFonts w:ascii="Times New Roman" w:hAnsi="Times New Roman"/>
          <w:sz w:val="24"/>
          <w:szCs w:val="24"/>
        </w:rPr>
        <w:t>tenetur</w:t>
      </w:r>
      <w:proofErr w:type="spellEnd"/>
      <w:r w:rsidRPr="00FA7692">
        <w:rPr>
          <w:rFonts w:ascii="Times New Roman" w:hAnsi="Times New Roman"/>
          <w:sz w:val="24"/>
          <w:szCs w:val="24"/>
        </w:rPr>
        <w:t>, podle které není obviněný povinen poskytovat součinnost při svém usvědčení.</w:t>
      </w:r>
    </w:p>
    <w:p w:rsidR="003D520D" w:rsidRDefault="003D520D">
      <w:pPr>
        <w:spacing w:after="0" w:line="240" w:lineRule="auto"/>
        <w:rPr>
          <w:rFonts w:ascii="Times New Roman" w:hAnsi="Times New Roman"/>
          <w:sz w:val="24"/>
          <w:szCs w:val="24"/>
        </w:rPr>
      </w:pPr>
      <w:r>
        <w:rPr>
          <w:rFonts w:ascii="Times New Roman" w:hAnsi="Times New Roman"/>
          <w:sz w:val="24"/>
          <w:szCs w:val="24"/>
        </w:rPr>
        <w:br w:type="page"/>
      </w:r>
    </w:p>
    <w:p w:rsidR="005E6559" w:rsidRDefault="005E6559" w:rsidP="005E6559">
      <w:pPr>
        <w:pStyle w:val="StylNadpis4Ped6bZa6b"/>
      </w:pPr>
      <w:bookmarkStart w:id="6" w:name="_Toc464464504"/>
      <w:r w:rsidRPr="005E6559">
        <w:lastRenderedPageBreak/>
        <w:t>Povinnost žadatele prokázat existenci mimořádně závažného zájmu v rámci řízení o zrušení prohlášení za kulturní památku a důsledku neunesení tohoto břemena na straně žadatele</w:t>
      </w:r>
      <w:bookmarkEnd w:id="6"/>
    </w:p>
    <w:p w:rsidR="005E6559" w:rsidRPr="005E6559" w:rsidRDefault="005E6559" w:rsidP="005E6559">
      <w:pPr>
        <w:spacing w:after="0" w:line="240" w:lineRule="auto"/>
        <w:jc w:val="both"/>
        <w:rPr>
          <w:rFonts w:ascii="Times New Roman" w:hAnsi="Times New Roman"/>
          <w:b/>
          <w:sz w:val="24"/>
          <w:szCs w:val="24"/>
        </w:rPr>
      </w:pPr>
      <w:r w:rsidRPr="005E6559">
        <w:rPr>
          <w:rFonts w:ascii="Times New Roman" w:hAnsi="Times New Roman"/>
          <w:b/>
          <w:sz w:val="24"/>
          <w:szCs w:val="24"/>
        </w:rPr>
        <w:t xml:space="preserve">Nejvyšší správní soud rozsudek spis. </w:t>
      </w:r>
      <w:proofErr w:type="gramStart"/>
      <w:r w:rsidRPr="005E6559">
        <w:rPr>
          <w:rFonts w:ascii="Times New Roman" w:hAnsi="Times New Roman"/>
          <w:b/>
          <w:sz w:val="24"/>
          <w:szCs w:val="24"/>
        </w:rPr>
        <w:t>zn.</w:t>
      </w:r>
      <w:proofErr w:type="gramEnd"/>
      <w:r w:rsidRPr="005E6559">
        <w:rPr>
          <w:rFonts w:ascii="Times New Roman" w:hAnsi="Times New Roman"/>
          <w:b/>
          <w:sz w:val="24"/>
          <w:szCs w:val="24"/>
        </w:rPr>
        <w:t xml:space="preserve"> 2 As 322/2015 - 73 (B1</w:t>
      </w:r>
      <w:r>
        <w:rPr>
          <w:rFonts w:ascii="Times New Roman" w:hAnsi="Times New Roman"/>
          <w:b/>
          <w:sz w:val="24"/>
          <w:szCs w:val="24"/>
        </w:rPr>
        <w:t>4</w:t>
      </w:r>
      <w:r w:rsidRPr="005E6559">
        <w:rPr>
          <w:rFonts w:ascii="Times New Roman" w:hAnsi="Times New Roman"/>
          <w:b/>
          <w:sz w:val="24"/>
          <w:szCs w:val="24"/>
        </w:rPr>
        <w:t>8)</w:t>
      </w:r>
    </w:p>
    <w:p w:rsidR="005E6559" w:rsidRPr="005E6559" w:rsidRDefault="005E6559" w:rsidP="005E6559">
      <w:pPr>
        <w:spacing w:after="0" w:line="240" w:lineRule="auto"/>
        <w:jc w:val="both"/>
        <w:rPr>
          <w:rFonts w:ascii="Times New Roman" w:hAnsi="Times New Roman"/>
          <w:b/>
          <w:sz w:val="24"/>
          <w:szCs w:val="24"/>
        </w:rPr>
      </w:pPr>
      <w:r w:rsidRPr="005E6559">
        <w:rPr>
          <w:rFonts w:ascii="Times New Roman" w:hAnsi="Times New Roman"/>
          <w:b/>
          <w:sz w:val="24"/>
          <w:szCs w:val="24"/>
        </w:rPr>
        <w:t>vybrané části judikátu:</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Úvodem přezkumu (ostatně stejně jako městský soud) Nejvyšší správní soud upozorňuje, že dle § 8 odst. 1 zákona o památkové péči pokud nejde o národní kulturní památku, může ministerstvo kultury z mimořádně závažných důvodů prohlášení věci za kulturní památku zrušit na žádost vlastníka kulturní památky nebo organizace, která na zrušení prohlášení věci za kulturní památku (dále jen "zrušení prohlášení") prokáže právní zájem, nebo z vlastního podnětu. Z uvedeného ustanovení plyne, že na zrušení prohlášení věci (souboru věcí) za kulturní památku není právní nárok ani v případě, kdy jsou dány mimořádně závažné důvody, neboť posouzení vzájemného vztahu těchto důvodů a veřejného zájmu na ochraně kulturních památek musí být předmětem správního uvážení.</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Zákon sice blíže nespecifikuje, co považuje za mimořádně závažné důvody, které mohou být důvodem zrušení prohlášení věci za kulturní památku, nicméně samotná důvodová zpráva k tomuto ustanovení uvádí, že havarijní stav tímto mimořádně závažným důvodem není. V případě stavby, která je kulturní památkou a utrpěla např. v důsledku živelní pohromy takové poškození, že její část byla zničena, zpravidla tento důvod dán není, a to ani za předpokladu, že by byla nadále zachována pouze jako torzální architektura (zřícenina). Ani vážné poškození stavby by nemělo být důvodem ke zrušení jejího prohlášení za kulturní památku. V úvahu by přicházelo zrušení prohlášení pouze tehdy, pokud by byla nenávratně zničena část stavby, která byla jediným nositelem kulturně-historických hodnot, pro něž se stavba stala kulturní památkou - např. nástěnná malba či jiný detail stavby, který se jako její součást nemohl stát kulturní památkou samostatně.</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Již městský soud stěžovateli vysvětlil, že dle § 82 odst. 4 správního řádu se k novým skutečnostem a k návrhům na provedení nových důkazů, uvedeným v odvolání nebo v průběhu odvolacího řízení, přihlédne jen tehdy, jde-li o takové skutečnosti nebo důkazy, které účastník nemohl uplatnit dříve. Pokud jde o návrh na provedení místního šetření, ten stěžovatel uplatnil až v průběhu rozkladového řízení. V průběhu řízení před správním orgánem prvního stupně zůstal stěžovatel zcela pasivní, vůbec se k ničemu nevyjádřil, ani nic nenavrhl, ač byl žalovaným řádně obeslán. K jeho návrhu na provedení místního šetření, jakožto nového důkazu, tak nebylo vůbec nutné přihlížet, zejména, jak výše uvedeno, když současně byl skutkový stav zjištěn dostatečně jiným způsobem.</w:t>
      </w:r>
    </w:p>
    <w:p w:rsidR="00FA76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Žalovaný však své důkazní břemeno unesl, když zjistil, že zde neexistují mimořádně závažné důvody svědčící pro to, aby bylo prohlášení za kulturní památku zrušeno. Zámek </w:t>
      </w:r>
      <w:r>
        <w:rPr>
          <w:rFonts w:ascii="Times New Roman" w:hAnsi="Times New Roman"/>
          <w:sz w:val="24"/>
          <w:szCs w:val="24"/>
        </w:rPr>
        <w:t>T</w:t>
      </w:r>
      <w:r w:rsidRPr="00FA7692">
        <w:rPr>
          <w:rFonts w:ascii="Times New Roman" w:hAnsi="Times New Roman"/>
          <w:sz w:val="24"/>
          <w:szCs w:val="24"/>
        </w:rPr>
        <w:t xml:space="preserve"> se dostal do rukou nových vlastníků, kteří, na rozdíl od vlastníků předchozích, jej začali pod dohledem orgánů státní památkové péče rekonstruovat, a tudíž kulturní památka má reálnou šanci být zachována. </w:t>
      </w:r>
    </w:p>
    <w:p w:rsidR="00D86B92" w:rsidRPr="00FA7692" w:rsidRDefault="00FA7692" w:rsidP="00FA7692">
      <w:pPr>
        <w:spacing w:after="0"/>
        <w:ind w:firstLine="708"/>
        <w:jc w:val="both"/>
        <w:rPr>
          <w:rFonts w:ascii="Times New Roman" w:hAnsi="Times New Roman"/>
          <w:sz w:val="24"/>
          <w:szCs w:val="24"/>
        </w:rPr>
      </w:pPr>
      <w:r w:rsidRPr="00FA7692">
        <w:rPr>
          <w:rFonts w:ascii="Times New Roman" w:hAnsi="Times New Roman"/>
          <w:sz w:val="24"/>
          <w:szCs w:val="24"/>
        </w:rPr>
        <w:t xml:space="preserve">Úkolem tohoto řízení pak není posuzovat, zda věc splňuje důvody památkové ochrany. To je účelem řízení o prohlášení věci za kulturní památku (§ 3 zákona o státní památkové péči), které proběhlo již v minulosti, a důvody památkové ochrany jsou tedy presumovány na jeho základě. Správní orgány navíc dostatečně poukázaly na historicko-architektonický význam areálu (významní vlastníci z řad šlechtických rodů) a na dochované architektonické </w:t>
      </w:r>
      <w:r w:rsidRPr="00FA7692">
        <w:rPr>
          <w:rFonts w:ascii="Times New Roman" w:hAnsi="Times New Roman"/>
          <w:sz w:val="24"/>
          <w:szCs w:val="24"/>
        </w:rPr>
        <w:lastRenderedPageBreak/>
        <w:t xml:space="preserve">prvky a detaily (klenby, schodiště, stropy), přičemž vycházely zejména ze stanoviska Národního památkového ústavu, jakožto znalecké organizace v oblasti památkové péče, jež je způsobilá hodnotit důvody památkové ochrany. </w:t>
      </w:r>
    </w:p>
    <w:sectPr w:rsidR="00D86B92" w:rsidRPr="00FA7692" w:rsidSect="00AE0D8F">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FB" w:rsidRDefault="007C1DFB" w:rsidP="005F2B72">
      <w:pPr>
        <w:spacing w:after="0" w:line="240" w:lineRule="auto"/>
      </w:pPr>
      <w:r>
        <w:separator/>
      </w:r>
    </w:p>
  </w:endnote>
  <w:endnote w:type="continuationSeparator" w:id="0">
    <w:p w:rsidR="007C1DFB" w:rsidRDefault="007C1DFB" w:rsidP="005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74" w:rsidRDefault="007E1074" w:rsidP="00ED436C">
    <w:pPr>
      <w:pStyle w:val="Zpat"/>
      <w:jc w:val="center"/>
    </w:pPr>
    <w:r w:rsidRPr="00ED436C">
      <w:rPr>
        <w:rFonts w:ascii="Times New Roman" w:hAnsi="Times New Roman"/>
        <w:sz w:val="24"/>
        <w:szCs w:val="24"/>
      </w:rPr>
      <w:fldChar w:fldCharType="begin"/>
    </w:r>
    <w:r w:rsidRPr="00ED436C">
      <w:rPr>
        <w:rFonts w:ascii="Times New Roman" w:hAnsi="Times New Roman"/>
        <w:sz w:val="24"/>
        <w:szCs w:val="24"/>
      </w:rPr>
      <w:instrText>PAGE   \* MERGEFORMAT</w:instrText>
    </w:r>
    <w:r w:rsidRPr="00ED436C">
      <w:rPr>
        <w:rFonts w:ascii="Times New Roman" w:hAnsi="Times New Roman"/>
        <w:sz w:val="24"/>
        <w:szCs w:val="24"/>
      </w:rPr>
      <w:fldChar w:fldCharType="separate"/>
    </w:r>
    <w:r w:rsidR="003D520D">
      <w:rPr>
        <w:rFonts w:ascii="Times New Roman" w:hAnsi="Times New Roman"/>
        <w:noProof/>
        <w:sz w:val="24"/>
        <w:szCs w:val="24"/>
      </w:rPr>
      <w:t>6</w:t>
    </w:r>
    <w:r w:rsidRPr="00ED436C">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FB" w:rsidRDefault="007C1DFB" w:rsidP="005F2B72">
      <w:pPr>
        <w:spacing w:after="0" w:line="240" w:lineRule="auto"/>
      </w:pPr>
      <w:r>
        <w:separator/>
      </w:r>
    </w:p>
  </w:footnote>
  <w:footnote w:type="continuationSeparator" w:id="0">
    <w:p w:rsidR="007C1DFB" w:rsidRDefault="007C1DFB" w:rsidP="005F2B72">
      <w:pPr>
        <w:spacing w:after="0" w:line="240" w:lineRule="auto"/>
      </w:pPr>
      <w:r>
        <w:continuationSeparator/>
      </w:r>
    </w:p>
  </w:footnote>
  <w:footnote w:id="1">
    <w:p w:rsidR="00FA7692" w:rsidRDefault="00FA7692">
      <w:pPr>
        <w:pStyle w:val="Textpoznpodarou"/>
      </w:pPr>
      <w:r>
        <w:rPr>
          <w:rStyle w:val="Znakapoznpodarou"/>
        </w:rPr>
        <w:footnoteRef/>
      </w:r>
      <w:r>
        <w:t xml:space="preserve"> Tento rozsudek nebyl napaden kasační stížností.</w:t>
      </w:r>
    </w:p>
  </w:footnote>
  <w:footnote w:id="2">
    <w:p w:rsidR="00A90D53" w:rsidRDefault="00A90D53" w:rsidP="00A90D53">
      <w:pPr>
        <w:pStyle w:val="Textpoznpodarou"/>
        <w:jc w:val="both"/>
      </w:pPr>
      <w:r>
        <w:rPr>
          <w:rStyle w:val="Znakapoznpodarou"/>
        </w:rPr>
        <w:footnoteRef/>
      </w:r>
      <w:r>
        <w:t xml:space="preserve"> Podobu opatření obecné povahy má </w:t>
      </w:r>
      <w:r w:rsidR="00A740AE">
        <w:t xml:space="preserve">v památkové péči </w:t>
      </w:r>
      <w:r>
        <w:t>i plán ochrany památkové rezervace nebo památkové zóny podle § 6a zákona o státní památkové péči nebo vymezení či změna památkové zóny podle § 6 zákona o státní památkové péči.</w:t>
      </w:r>
    </w:p>
  </w:footnote>
  <w:footnote w:id="3">
    <w:p w:rsidR="00FA7692" w:rsidRDefault="00FA7692" w:rsidP="00FA7692">
      <w:pPr>
        <w:pStyle w:val="Textpoznpodarou"/>
      </w:pPr>
      <w:r>
        <w:rPr>
          <w:rStyle w:val="Znakapoznpodarou"/>
        </w:rPr>
        <w:footnoteRef/>
      </w:r>
      <w:r>
        <w:t xml:space="preserve"> Tento rozsudek nebyl napaden kasační stížností.</w:t>
      </w:r>
    </w:p>
  </w:footnote>
  <w:footnote w:id="4">
    <w:p w:rsidR="00FA7692" w:rsidRDefault="00FA7692">
      <w:pPr>
        <w:pStyle w:val="Textpoznpodarou"/>
      </w:pPr>
      <w:r>
        <w:rPr>
          <w:rStyle w:val="Znakapoznpodarou"/>
        </w:rPr>
        <w:footnoteRef/>
      </w:r>
      <w:r>
        <w:t xml:space="preserve"> Tento rozsudek nebyl napaden kasační stížností.</w:t>
      </w:r>
    </w:p>
  </w:footnote>
  <w:footnote w:id="5">
    <w:p w:rsidR="00FA7692" w:rsidRDefault="00FA7692">
      <w:pPr>
        <w:pStyle w:val="Textpoznpodarou"/>
      </w:pPr>
      <w:r>
        <w:rPr>
          <w:rStyle w:val="Znakapoznpodarou"/>
        </w:rPr>
        <w:footnoteRef/>
      </w:r>
      <w:r>
        <w:t xml:space="preserve"> Tento rozsudek nebyl napaden kasační stížností.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74" w:rsidRPr="007E1074" w:rsidRDefault="007E1074" w:rsidP="007E1074">
    <w:pPr>
      <w:pStyle w:val="Zhlav"/>
      <w:spacing w:after="0"/>
      <w:jc w:val="center"/>
      <w:rPr>
        <w:rFonts w:ascii="Times New Roman" w:hAnsi="Times New Roman"/>
        <w:b/>
        <w:sz w:val="20"/>
        <w:szCs w:val="20"/>
      </w:rPr>
    </w:pPr>
    <w:r w:rsidRPr="007E1074">
      <w:rPr>
        <w:rFonts w:ascii="Times New Roman" w:hAnsi="Times New Roman"/>
        <w:b/>
        <w:sz w:val="20"/>
        <w:szCs w:val="20"/>
      </w:rPr>
      <w:t>Judikatura a památková péče</w:t>
    </w:r>
  </w:p>
  <w:p w:rsidR="007E1074" w:rsidRDefault="007E1074" w:rsidP="007E1074">
    <w:pPr>
      <w:pStyle w:val="Zhlav"/>
      <w:spacing w:after="0"/>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orada Ministerstva kultury s pracovníky krajských úřadů a MHMP na téma památkové péče</w:t>
    </w:r>
    <w:r>
      <w:rPr>
        <w:rFonts w:ascii="Times New Roman" w:hAnsi="Times New Roman"/>
        <w:sz w:val="20"/>
        <w:szCs w:val="20"/>
      </w:rPr>
      <w:t>,</w:t>
    </w:r>
    <w:r w:rsidRPr="00E91DE8">
      <w:rPr>
        <w:rFonts w:ascii="Times New Roman" w:hAnsi="Times New Roman"/>
        <w:sz w:val="20"/>
        <w:szCs w:val="20"/>
      </w:rPr>
      <w:t xml:space="preserve"> 2</w:t>
    </w:r>
    <w:r w:rsidR="005E6559">
      <w:rPr>
        <w:rFonts w:ascii="Times New Roman" w:hAnsi="Times New Roman"/>
        <w:sz w:val="20"/>
        <w:szCs w:val="20"/>
      </w:rPr>
      <w:t>5</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sidR="005E6559">
      <w:rPr>
        <w:rFonts w:ascii="Times New Roman" w:hAnsi="Times New Roman"/>
        <w:sz w:val="20"/>
        <w:szCs w:val="20"/>
      </w:rPr>
      <w:t>6</w:t>
    </w:r>
  </w:p>
  <w:p w:rsidR="00841CA2" w:rsidRPr="00ED436C" w:rsidRDefault="00841CA2" w:rsidP="007E1074">
    <w:pPr>
      <w:pStyle w:val="Zhlav"/>
      <w:spacing w:after="0"/>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C2"/>
    <w:multiLevelType w:val="hybridMultilevel"/>
    <w:tmpl w:val="4C12A324"/>
    <w:lvl w:ilvl="0" w:tplc="2932B59E">
      <w:start w:val="1"/>
      <w:numFmt w:val="decimal"/>
      <w:pStyle w:val="StylNadpis4Ped6bZa6b"/>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5482631"/>
    <w:multiLevelType w:val="hybridMultilevel"/>
    <w:tmpl w:val="BD0058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62A7E41"/>
    <w:multiLevelType w:val="hybridMultilevel"/>
    <w:tmpl w:val="2AEC1038"/>
    <w:lvl w:ilvl="0" w:tplc="EC946EAA">
      <w:start w:val="1"/>
      <w:numFmt w:val="decimal"/>
      <w:pStyle w:val="Nadpis4"/>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585419"/>
    <w:multiLevelType w:val="hybridMultilevel"/>
    <w:tmpl w:val="F698C472"/>
    <w:lvl w:ilvl="0" w:tplc="C01A3518">
      <w:start w:val="1"/>
      <w:numFmt w:val="decimal"/>
      <w:lvlText w:val="%1."/>
      <w:lvlJc w:val="left"/>
      <w:pPr>
        <w:tabs>
          <w:tab w:val="num" w:pos="720"/>
        </w:tabs>
        <w:ind w:left="720" w:hanging="360"/>
      </w:pPr>
    </w:lvl>
    <w:lvl w:ilvl="1" w:tplc="2676F5B8" w:tentative="1">
      <w:start w:val="1"/>
      <w:numFmt w:val="decimal"/>
      <w:lvlText w:val="%2."/>
      <w:lvlJc w:val="left"/>
      <w:pPr>
        <w:tabs>
          <w:tab w:val="num" w:pos="1440"/>
        </w:tabs>
        <w:ind w:left="1440" w:hanging="360"/>
      </w:pPr>
    </w:lvl>
    <w:lvl w:ilvl="2" w:tplc="3766D032" w:tentative="1">
      <w:start w:val="1"/>
      <w:numFmt w:val="decimal"/>
      <w:lvlText w:val="%3."/>
      <w:lvlJc w:val="left"/>
      <w:pPr>
        <w:tabs>
          <w:tab w:val="num" w:pos="2160"/>
        </w:tabs>
        <w:ind w:left="2160" w:hanging="360"/>
      </w:pPr>
    </w:lvl>
    <w:lvl w:ilvl="3" w:tplc="B60C79F8" w:tentative="1">
      <w:start w:val="1"/>
      <w:numFmt w:val="decimal"/>
      <w:lvlText w:val="%4."/>
      <w:lvlJc w:val="left"/>
      <w:pPr>
        <w:tabs>
          <w:tab w:val="num" w:pos="2880"/>
        </w:tabs>
        <w:ind w:left="2880" w:hanging="360"/>
      </w:pPr>
    </w:lvl>
    <w:lvl w:ilvl="4" w:tplc="BB1C97DA" w:tentative="1">
      <w:start w:val="1"/>
      <w:numFmt w:val="decimal"/>
      <w:lvlText w:val="%5."/>
      <w:lvlJc w:val="left"/>
      <w:pPr>
        <w:tabs>
          <w:tab w:val="num" w:pos="3600"/>
        </w:tabs>
        <w:ind w:left="3600" w:hanging="360"/>
      </w:pPr>
    </w:lvl>
    <w:lvl w:ilvl="5" w:tplc="29B466EA" w:tentative="1">
      <w:start w:val="1"/>
      <w:numFmt w:val="decimal"/>
      <w:lvlText w:val="%6."/>
      <w:lvlJc w:val="left"/>
      <w:pPr>
        <w:tabs>
          <w:tab w:val="num" w:pos="4320"/>
        </w:tabs>
        <w:ind w:left="4320" w:hanging="360"/>
      </w:pPr>
    </w:lvl>
    <w:lvl w:ilvl="6" w:tplc="7EF04D24" w:tentative="1">
      <w:start w:val="1"/>
      <w:numFmt w:val="decimal"/>
      <w:lvlText w:val="%7."/>
      <w:lvlJc w:val="left"/>
      <w:pPr>
        <w:tabs>
          <w:tab w:val="num" w:pos="5040"/>
        </w:tabs>
        <w:ind w:left="5040" w:hanging="360"/>
      </w:pPr>
    </w:lvl>
    <w:lvl w:ilvl="7" w:tplc="DFF0B580" w:tentative="1">
      <w:start w:val="1"/>
      <w:numFmt w:val="decimal"/>
      <w:lvlText w:val="%8."/>
      <w:lvlJc w:val="left"/>
      <w:pPr>
        <w:tabs>
          <w:tab w:val="num" w:pos="5760"/>
        </w:tabs>
        <w:ind w:left="5760" w:hanging="360"/>
      </w:pPr>
    </w:lvl>
    <w:lvl w:ilvl="8" w:tplc="604227E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EB"/>
    <w:rsid w:val="000511D8"/>
    <w:rsid w:val="0007506E"/>
    <w:rsid w:val="00151136"/>
    <w:rsid w:val="001B642F"/>
    <w:rsid w:val="001D5B35"/>
    <w:rsid w:val="002456CB"/>
    <w:rsid w:val="002F7F35"/>
    <w:rsid w:val="003644E5"/>
    <w:rsid w:val="003A4F97"/>
    <w:rsid w:val="003A5E99"/>
    <w:rsid w:val="003D520D"/>
    <w:rsid w:val="004A3862"/>
    <w:rsid w:val="00503CA5"/>
    <w:rsid w:val="0057357D"/>
    <w:rsid w:val="005E6559"/>
    <w:rsid w:val="005F2B72"/>
    <w:rsid w:val="006D48B5"/>
    <w:rsid w:val="006E65F8"/>
    <w:rsid w:val="00750F60"/>
    <w:rsid w:val="007534B3"/>
    <w:rsid w:val="007C1DFB"/>
    <w:rsid w:val="007D0DD9"/>
    <w:rsid w:val="007E1074"/>
    <w:rsid w:val="00841CA2"/>
    <w:rsid w:val="008E78D6"/>
    <w:rsid w:val="00962FF7"/>
    <w:rsid w:val="009A38E6"/>
    <w:rsid w:val="00A73089"/>
    <w:rsid w:val="00A740AE"/>
    <w:rsid w:val="00A771C0"/>
    <w:rsid w:val="00A90D53"/>
    <w:rsid w:val="00AC30ED"/>
    <w:rsid w:val="00AE0D8F"/>
    <w:rsid w:val="00AF132F"/>
    <w:rsid w:val="00B101F9"/>
    <w:rsid w:val="00B515ED"/>
    <w:rsid w:val="00C46C56"/>
    <w:rsid w:val="00CD7F0F"/>
    <w:rsid w:val="00CE79CF"/>
    <w:rsid w:val="00D86B92"/>
    <w:rsid w:val="00D97CD8"/>
    <w:rsid w:val="00DB37EB"/>
    <w:rsid w:val="00DD4006"/>
    <w:rsid w:val="00DF3CC6"/>
    <w:rsid w:val="00E13B27"/>
    <w:rsid w:val="00ED436C"/>
    <w:rsid w:val="00F30D28"/>
    <w:rsid w:val="00FA7692"/>
    <w:rsid w:val="00FE39B1"/>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semiHidden/>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5F2B72"/>
    <w:rPr>
      <w:rFonts w:ascii="Times New Roman" w:eastAsia="Times New Roman" w:hAnsi="Times New Roman"/>
    </w:rPr>
  </w:style>
  <w:style w:type="character" w:styleId="Znakapoznpodarou">
    <w:name w:val="footnote reference"/>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A771C0"/>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semiHidden/>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5F2B72"/>
    <w:rPr>
      <w:rFonts w:ascii="Times New Roman" w:eastAsia="Times New Roman" w:hAnsi="Times New Roman"/>
    </w:rPr>
  </w:style>
  <w:style w:type="character" w:styleId="Znakapoznpodarou">
    <w:name w:val="footnote reference"/>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A771C0"/>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68103">
      <w:bodyDiv w:val="1"/>
      <w:marLeft w:val="0"/>
      <w:marRight w:val="0"/>
      <w:marTop w:val="0"/>
      <w:marBottom w:val="0"/>
      <w:divBdr>
        <w:top w:val="none" w:sz="0" w:space="0" w:color="auto"/>
        <w:left w:val="none" w:sz="0" w:space="0" w:color="auto"/>
        <w:bottom w:val="none" w:sz="0" w:space="0" w:color="auto"/>
        <w:right w:val="none" w:sz="0" w:space="0" w:color="auto"/>
      </w:divBdr>
      <w:divsChild>
        <w:div w:id="543368762">
          <w:marLeft w:val="720"/>
          <w:marRight w:val="0"/>
          <w:marTop w:val="96"/>
          <w:marBottom w:val="0"/>
          <w:divBdr>
            <w:top w:val="none" w:sz="0" w:space="0" w:color="auto"/>
            <w:left w:val="none" w:sz="0" w:space="0" w:color="auto"/>
            <w:bottom w:val="none" w:sz="0" w:space="0" w:color="auto"/>
            <w:right w:val="none" w:sz="0" w:space="0" w:color="auto"/>
          </w:divBdr>
        </w:div>
        <w:div w:id="951087794">
          <w:marLeft w:val="720"/>
          <w:marRight w:val="0"/>
          <w:marTop w:val="96"/>
          <w:marBottom w:val="0"/>
          <w:divBdr>
            <w:top w:val="none" w:sz="0" w:space="0" w:color="auto"/>
            <w:left w:val="none" w:sz="0" w:space="0" w:color="auto"/>
            <w:bottom w:val="none" w:sz="0" w:space="0" w:color="auto"/>
            <w:right w:val="none" w:sz="0" w:space="0" w:color="auto"/>
          </w:divBdr>
        </w:div>
        <w:div w:id="2082948505">
          <w:marLeft w:val="720"/>
          <w:marRight w:val="0"/>
          <w:marTop w:val="96"/>
          <w:marBottom w:val="0"/>
          <w:divBdr>
            <w:top w:val="none" w:sz="0" w:space="0" w:color="auto"/>
            <w:left w:val="none" w:sz="0" w:space="0" w:color="auto"/>
            <w:bottom w:val="none" w:sz="0" w:space="0" w:color="auto"/>
            <w:right w:val="none" w:sz="0" w:space="0" w:color="auto"/>
          </w:divBdr>
        </w:div>
        <w:div w:id="2110812686">
          <w:marLeft w:val="720"/>
          <w:marRight w:val="0"/>
          <w:marTop w:val="96"/>
          <w:marBottom w:val="0"/>
          <w:divBdr>
            <w:top w:val="none" w:sz="0" w:space="0" w:color="auto"/>
            <w:left w:val="none" w:sz="0" w:space="0" w:color="auto"/>
            <w:bottom w:val="none" w:sz="0" w:space="0" w:color="auto"/>
            <w:right w:val="none" w:sz="0" w:space="0" w:color="auto"/>
          </w:divBdr>
        </w:div>
      </w:divsChild>
    </w:div>
    <w:div w:id="370687815">
      <w:bodyDiv w:val="1"/>
      <w:marLeft w:val="0"/>
      <w:marRight w:val="0"/>
      <w:marTop w:val="0"/>
      <w:marBottom w:val="0"/>
      <w:divBdr>
        <w:top w:val="none" w:sz="0" w:space="0" w:color="auto"/>
        <w:left w:val="none" w:sz="0" w:space="0" w:color="auto"/>
        <w:bottom w:val="none" w:sz="0" w:space="0" w:color="auto"/>
        <w:right w:val="none" w:sz="0" w:space="0" w:color="auto"/>
      </w:divBdr>
    </w:div>
    <w:div w:id="703556123">
      <w:bodyDiv w:val="1"/>
      <w:marLeft w:val="0"/>
      <w:marRight w:val="0"/>
      <w:marTop w:val="0"/>
      <w:marBottom w:val="0"/>
      <w:divBdr>
        <w:top w:val="none" w:sz="0" w:space="0" w:color="auto"/>
        <w:left w:val="none" w:sz="0" w:space="0" w:color="auto"/>
        <w:bottom w:val="none" w:sz="0" w:space="0" w:color="auto"/>
        <w:right w:val="none" w:sz="0" w:space="0" w:color="auto"/>
      </w:divBdr>
    </w:div>
    <w:div w:id="709112987">
      <w:bodyDiv w:val="1"/>
      <w:marLeft w:val="0"/>
      <w:marRight w:val="0"/>
      <w:marTop w:val="0"/>
      <w:marBottom w:val="0"/>
      <w:divBdr>
        <w:top w:val="none" w:sz="0" w:space="0" w:color="auto"/>
        <w:left w:val="none" w:sz="0" w:space="0" w:color="auto"/>
        <w:bottom w:val="none" w:sz="0" w:space="0" w:color="auto"/>
        <w:right w:val="none" w:sz="0" w:space="0" w:color="auto"/>
      </w:divBdr>
    </w:div>
    <w:div w:id="883908520">
      <w:bodyDiv w:val="1"/>
      <w:marLeft w:val="0"/>
      <w:marRight w:val="0"/>
      <w:marTop w:val="0"/>
      <w:marBottom w:val="0"/>
      <w:divBdr>
        <w:top w:val="none" w:sz="0" w:space="0" w:color="auto"/>
        <w:left w:val="none" w:sz="0" w:space="0" w:color="auto"/>
        <w:bottom w:val="none" w:sz="0" w:space="0" w:color="auto"/>
        <w:right w:val="none" w:sz="0" w:space="0" w:color="auto"/>
      </w:divBdr>
      <w:divsChild>
        <w:div w:id="725645569">
          <w:marLeft w:val="0"/>
          <w:marRight w:val="0"/>
          <w:marTop w:val="0"/>
          <w:marBottom w:val="0"/>
          <w:divBdr>
            <w:top w:val="none" w:sz="0" w:space="0" w:color="auto"/>
            <w:left w:val="none" w:sz="0" w:space="0" w:color="auto"/>
            <w:bottom w:val="none" w:sz="0" w:space="0" w:color="auto"/>
            <w:right w:val="none" w:sz="0" w:space="0" w:color="auto"/>
          </w:divBdr>
          <w:divsChild>
            <w:div w:id="1661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928">
      <w:bodyDiv w:val="1"/>
      <w:marLeft w:val="0"/>
      <w:marRight w:val="0"/>
      <w:marTop w:val="0"/>
      <w:marBottom w:val="0"/>
      <w:divBdr>
        <w:top w:val="none" w:sz="0" w:space="0" w:color="auto"/>
        <w:left w:val="none" w:sz="0" w:space="0" w:color="auto"/>
        <w:bottom w:val="none" w:sz="0" w:space="0" w:color="auto"/>
        <w:right w:val="none" w:sz="0" w:space="0" w:color="auto"/>
      </w:divBdr>
    </w:div>
    <w:div w:id="2125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BCA5-BDB5-4B06-B9B0-DD76C6D1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13064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15248</CharactersWithSpaces>
  <SharedDoc>false</SharedDoc>
  <HLinks>
    <vt:vector size="30" baseType="variant">
      <vt:variant>
        <vt:i4>1245234</vt:i4>
      </vt:variant>
      <vt:variant>
        <vt:i4>26</vt:i4>
      </vt:variant>
      <vt:variant>
        <vt:i4>0</vt:i4>
      </vt:variant>
      <vt:variant>
        <vt:i4>5</vt:i4>
      </vt:variant>
      <vt:variant>
        <vt:lpwstr/>
      </vt:variant>
      <vt:variant>
        <vt:lpwstr>_Toc401216603</vt:lpwstr>
      </vt:variant>
      <vt:variant>
        <vt:i4>1245234</vt:i4>
      </vt:variant>
      <vt:variant>
        <vt:i4>20</vt:i4>
      </vt:variant>
      <vt:variant>
        <vt:i4>0</vt:i4>
      </vt:variant>
      <vt:variant>
        <vt:i4>5</vt:i4>
      </vt:variant>
      <vt:variant>
        <vt:lpwstr/>
      </vt:variant>
      <vt:variant>
        <vt:lpwstr>_Toc401216602</vt:lpwstr>
      </vt:variant>
      <vt:variant>
        <vt:i4>1245234</vt:i4>
      </vt:variant>
      <vt:variant>
        <vt:i4>14</vt:i4>
      </vt:variant>
      <vt:variant>
        <vt:i4>0</vt:i4>
      </vt:variant>
      <vt:variant>
        <vt:i4>5</vt:i4>
      </vt:variant>
      <vt:variant>
        <vt:lpwstr/>
      </vt:variant>
      <vt:variant>
        <vt:lpwstr>_Toc401216601</vt:lpwstr>
      </vt:variant>
      <vt:variant>
        <vt:i4>1245234</vt:i4>
      </vt:variant>
      <vt:variant>
        <vt:i4>8</vt:i4>
      </vt:variant>
      <vt:variant>
        <vt:i4>0</vt:i4>
      </vt:variant>
      <vt:variant>
        <vt:i4>5</vt:i4>
      </vt:variant>
      <vt:variant>
        <vt:lpwstr/>
      </vt:variant>
      <vt:variant>
        <vt:lpwstr>_Toc401216600</vt:lpwstr>
      </vt:variant>
      <vt:variant>
        <vt:i4>1703985</vt:i4>
      </vt:variant>
      <vt:variant>
        <vt:i4>2</vt:i4>
      </vt:variant>
      <vt:variant>
        <vt:i4>0</vt:i4>
      </vt:variant>
      <vt:variant>
        <vt:i4>5</vt:i4>
      </vt:variant>
      <vt:variant>
        <vt:lpwstr/>
      </vt:variant>
      <vt:variant>
        <vt:lpwstr>_Toc401216599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 Kvasničková</cp:lastModifiedBy>
  <cp:revision>2</cp:revision>
  <cp:lastPrinted>2014-10-16T07:54:00Z</cp:lastPrinted>
  <dcterms:created xsi:type="dcterms:W3CDTF">2016-10-17T08:46:00Z</dcterms:created>
  <dcterms:modified xsi:type="dcterms:W3CDTF">2016-10-17T08:46:00Z</dcterms:modified>
</cp:coreProperties>
</file>