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FE" w:rsidRPr="002C6CFE" w:rsidRDefault="002C6CFE" w:rsidP="002C6C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Vyjádření</w:t>
      </w:r>
      <w:r w:rsidR="001A6A91" w:rsidRPr="001A6A9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C6CFE">
        <w:rPr>
          <w:rFonts w:ascii="Times New Roman" w:hAnsi="Times New Roman" w:cs="Times New Roman"/>
          <w:b/>
          <w:sz w:val="48"/>
          <w:szCs w:val="48"/>
        </w:rPr>
        <w:t>Úřad</w:t>
      </w:r>
      <w:r>
        <w:rPr>
          <w:rFonts w:ascii="Times New Roman" w:hAnsi="Times New Roman" w:cs="Times New Roman"/>
          <w:b/>
          <w:sz w:val="48"/>
          <w:szCs w:val="48"/>
        </w:rPr>
        <w:t>u</w:t>
      </w:r>
      <w:r w:rsidRPr="002C6CFE">
        <w:rPr>
          <w:rFonts w:ascii="Times New Roman" w:hAnsi="Times New Roman" w:cs="Times New Roman"/>
          <w:b/>
          <w:sz w:val="48"/>
          <w:szCs w:val="48"/>
        </w:rPr>
        <w:t xml:space="preserve"> vlády České republiky</w:t>
      </w:r>
    </w:p>
    <w:p w:rsidR="002C6CFE" w:rsidRPr="002C6CFE" w:rsidRDefault="002C6CFE" w:rsidP="002C6C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6CFE">
        <w:rPr>
          <w:rFonts w:ascii="Times New Roman" w:hAnsi="Times New Roman" w:cs="Times New Roman"/>
          <w:b/>
          <w:sz w:val="48"/>
          <w:szCs w:val="48"/>
        </w:rPr>
        <w:t>Sekce Legislativní rady vlády</w:t>
      </w:r>
    </w:p>
    <w:p w:rsidR="001A6A91" w:rsidRPr="001A6A91" w:rsidRDefault="001A6A91" w:rsidP="001A6A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6A91" w:rsidRPr="001A6A91" w:rsidRDefault="001A6A91" w:rsidP="001A6A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A91">
        <w:rPr>
          <w:rFonts w:ascii="Times New Roman" w:hAnsi="Times New Roman" w:cs="Times New Roman"/>
          <w:b/>
          <w:sz w:val="48"/>
          <w:szCs w:val="48"/>
        </w:rPr>
        <w:t xml:space="preserve">č.j. </w:t>
      </w:r>
      <w:r w:rsidR="002C6CFE" w:rsidRPr="002C6CFE">
        <w:rPr>
          <w:rFonts w:ascii="Times New Roman" w:hAnsi="Times New Roman" w:cs="Times New Roman"/>
          <w:b/>
          <w:sz w:val="48"/>
          <w:szCs w:val="48"/>
        </w:rPr>
        <w:t>30080/2017-OVL</w:t>
      </w:r>
      <w:r w:rsidRPr="001A6A91">
        <w:rPr>
          <w:rFonts w:ascii="Times New Roman" w:hAnsi="Times New Roman" w:cs="Times New Roman"/>
          <w:b/>
          <w:sz w:val="48"/>
          <w:szCs w:val="48"/>
        </w:rPr>
        <w:t xml:space="preserve"> ze dne </w:t>
      </w:r>
    </w:p>
    <w:p w:rsidR="001A6A91" w:rsidRPr="001A6A91" w:rsidRDefault="001A6A91" w:rsidP="001A6A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A91">
        <w:rPr>
          <w:rFonts w:ascii="Times New Roman" w:hAnsi="Times New Roman" w:cs="Times New Roman"/>
          <w:b/>
          <w:sz w:val="48"/>
          <w:szCs w:val="48"/>
        </w:rPr>
        <w:t>3. listopadu 2017</w:t>
      </w:r>
    </w:p>
    <w:p w:rsidR="001A6A91" w:rsidRPr="001A6A91" w:rsidRDefault="001A6A91" w:rsidP="001A6A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A6A91" w:rsidRPr="001A6A91" w:rsidRDefault="001A6A91" w:rsidP="001A6A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A6A91" w:rsidRPr="001A6A91" w:rsidRDefault="001A6A91" w:rsidP="001A6A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A6A91" w:rsidRPr="001A6A91" w:rsidRDefault="001A6A91" w:rsidP="001A6A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6A91">
        <w:rPr>
          <w:rFonts w:ascii="Times New Roman" w:hAnsi="Times New Roman" w:cs="Times New Roman"/>
          <w:sz w:val="24"/>
          <w:szCs w:val="24"/>
        </w:rPr>
        <w:t>Věc:</w:t>
      </w:r>
      <w:r w:rsidRPr="001A6A91">
        <w:rPr>
          <w:rFonts w:ascii="Times New Roman" w:hAnsi="Times New Roman" w:cs="Times New Roman"/>
          <w:sz w:val="24"/>
          <w:szCs w:val="24"/>
        </w:rPr>
        <w:tab/>
        <w:t xml:space="preserve">Vyjádření k vyhlášce hl. m. Prahy č. 15/1991 Sb., o prohlášení částí území hlavního města Prahy za památkové zóny a o určení podmínek jejich ochrany </w:t>
      </w:r>
    </w:p>
    <w:p w:rsidR="001A6A91" w:rsidRDefault="001A6A91" w:rsidP="001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B9" w:rsidRDefault="001A6A91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64B9">
        <w:rPr>
          <w:rFonts w:ascii="Times New Roman" w:hAnsi="Times New Roman" w:cs="Times New Roman"/>
          <w:sz w:val="24"/>
          <w:szCs w:val="24"/>
        </w:rPr>
        <w:t>brátil jste se na Sekci Legislativní rady vlády Úřadu vlády s žádostí o stanovisko k platnosti obecně závazné vyhlášky hlavního města Prahy č. 15/1991 Sb., o prohlášení části území hlavního města Prahy za památkové zóny a o určení podmínek jejich ochrany, resp. o</w:t>
      </w:r>
      <w:r w:rsidR="002C6CFE">
        <w:rPr>
          <w:rFonts w:ascii="Times New Roman" w:hAnsi="Times New Roman" w:cs="Times New Roman"/>
          <w:sz w:val="24"/>
          <w:szCs w:val="24"/>
        </w:rPr>
        <w:t> </w:t>
      </w:r>
      <w:r w:rsidR="00CD64B9">
        <w:rPr>
          <w:rFonts w:ascii="Times New Roman" w:hAnsi="Times New Roman" w:cs="Times New Roman"/>
          <w:sz w:val="24"/>
          <w:szCs w:val="24"/>
        </w:rPr>
        <w:t>stanovisko k otázce, zda má ve věci posouzení platnosti dané vyhlášky nějakou působnost Ministerstvo vnitra.</w:t>
      </w:r>
    </w:p>
    <w:p w:rsidR="00CD64B9" w:rsidRDefault="00CD64B9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úvod své odpovědi Vám musím sdělit, že Legislativní rada vlády je poradním orgánem vlády pro tvorbu právních předpisů na úrovni vlády, tzn. návrhů zákonů, jejichž navrhovatelem je vláda, a nařízení vlády, nikoliv orgánem, který by se měl a mohl závazně vyjadřovat k výkladu právních předpisů, navíc těch, které do působnosti vlády nespadají, nebo zaujímat stanovisko k tomu, zda je některý právní předpisů platný nebo ne. Dále uvedený právní názor, který jsem k Vámi položené otázce zaujal, není proto stanoviskem Legislativní rady vlády ani Sekce legislativní rady vlády, ale jen jedním z </w:t>
      </w:r>
      <w:r w:rsidR="004E6E06">
        <w:rPr>
          <w:rFonts w:ascii="Times New Roman" w:hAnsi="Times New Roman" w:cs="Times New Roman"/>
          <w:sz w:val="24"/>
          <w:szCs w:val="24"/>
        </w:rPr>
        <w:t>možných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E06">
        <w:rPr>
          <w:rFonts w:ascii="Times New Roman" w:hAnsi="Times New Roman" w:cs="Times New Roman"/>
          <w:sz w:val="24"/>
          <w:szCs w:val="24"/>
        </w:rPr>
        <w:t>pohle</w:t>
      </w:r>
      <w:r>
        <w:rPr>
          <w:rFonts w:ascii="Times New Roman" w:hAnsi="Times New Roman" w:cs="Times New Roman"/>
          <w:sz w:val="24"/>
          <w:szCs w:val="24"/>
        </w:rPr>
        <w:t>dů na danou věc, neboť tím, kdo může rozhodnout o případném zrušení podzákonného právního předpisu pro rozpor se zákonem, je pouze Ústavní soud. I pro právní předpisy včetně podzákonných, platí princip presumpce správnosti veřejnoprávních aktů, takže i právní předpis, který je v důsledku svého obsahu nebo v důsledku způsobu přijetí v rozporu se zákonem, je platný a účinný až do okamžiku, než je zákonem stanoveným způsobem zrušen.</w:t>
      </w:r>
    </w:p>
    <w:p w:rsidR="00CD64B9" w:rsidRPr="00ED6C34" w:rsidRDefault="00CD64B9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závazná vyhláška hlavního města Prahy č. 15/1991 Sb. hl.</w:t>
      </w:r>
      <w:r w:rsidR="0056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56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Prahy byla vydána na základě § 6 odst. 1 zákona č. 20/1987 Sb., o státní památkové péči, který v době vydání této vyhlášky </w:t>
      </w:r>
      <w:r w:rsidR="00374D9C">
        <w:rPr>
          <w:rFonts w:ascii="Times New Roman" w:hAnsi="Times New Roman" w:cs="Times New Roman"/>
          <w:sz w:val="24"/>
          <w:szCs w:val="24"/>
        </w:rPr>
        <w:t>stanovil, že kraj</w:t>
      </w:r>
      <w:r>
        <w:rPr>
          <w:rFonts w:ascii="Times New Roman" w:hAnsi="Times New Roman" w:cs="Times New Roman"/>
          <w:sz w:val="24"/>
          <w:szCs w:val="24"/>
        </w:rPr>
        <w:t>s</w:t>
      </w:r>
      <w:r w:rsidR="00374D9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ý národní výbor může po předchozím projednání s Ministerstvem kultury</w:t>
      </w:r>
      <w:r w:rsidR="00374D9C">
        <w:rPr>
          <w:rFonts w:ascii="Times New Roman" w:hAnsi="Times New Roman" w:cs="Times New Roman"/>
          <w:sz w:val="24"/>
          <w:szCs w:val="24"/>
        </w:rPr>
        <w:t xml:space="preserve"> prohlásit území sídelního útvaru nebo jeho části s menším podílem kulturních památek, historické prostředí nebo část krajinného celku, které vykazují významné kulturní hodnoty, za památkovou zónu a určit podmínky její ochrany. Krajské národní výbory již v r. 1991 neexistovaly, neboť byly zrušeny v r. 1990 v souvislosti se zřízením okresních úřadů a působnost krajských národních výborů přešla dílem na okresní úřady a dílem na ústřední orgány státní správy. Podle § 18 a přílohy č. 2 zákona č.</w:t>
      </w:r>
      <w:r w:rsidR="00564BD6">
        <w:rPr>
          <w:rFonts w:ascii="Times New Roman" w:hAnsi="Times New Roman" w:cs="Times New Roman"/>
          <w:sz w:val="24"/>
          <w:szCs w:val="24"/>
        </w:rPr>
        <w:t xml:space="preserve"> </w:t>
      </w:r>
      <w:r w:rsidR="00374D9C">
        <w:rPr>
          <w:rFonts w:ascii="Times New Roman" w:hAnsi="Times New Roman" w:cs="Times New Roman"/>
          <w:sz w:val="24"/>
          <w:szCs w:val="24"/>
        </w:rPr>
        <w:t xml:space="preserve">425/1990 Sb., o okresních úřadech, úpravě jejich působnosti a o některých dalších opatřeních s tím souvisejících přešla pravomoc </w:t>
      </w:r>
      <w:r w:rsidR="00374D9C" w:rsidRPr="00ED6C34">
        <w:rPr>
          <w:rFonts w:ascii="Times New Roman" w:hAnsi="Times New Roman" w:cs="Times New Roman"/>
          <w:sz w:val="24"/>
          <w:szCs w:val="24"/>
        </w:rPr>
        <w:t>krajského národního výboru podle § 6 odst. 1 zákona č. 20/1987 Sb. na Ministerstvo kultury jako příslušný ústřední orgán státní správy, které také na základě tohoto ustanovení několik vyhlášek o památkových zónách vydalo.</w:t>
      </w:r>
    </w:p>
    <w:p w:rsidR="00374D9C" w:rsidRDefault="00374D9C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34">
        <w:rPr>
          <w:rFonts w:ascii="Times New Roman" w:hAnsi="Times New Roman" w:cs="Times New Roman"/>
          <w:sz w:val="24"/>
          <w:szCs w:val="24"/>
        </w:rPr>
        <w:t>V § 14 písm. a) zákona č. 418/1990 Sb., o hlavním městě Praze, však bylo stanoveno, že hlavní město Praha a vykonává v přenesené působnosti státní správu v rozsahu, ve kterém ji podle zvláštních</w:t>
      </w:r>
      <w:r>
        <w:rPr>
          <w:rFonts w:ascii="Times New Roman" w:hAnsi="Times New Roman" w:cs="Times New Roman"/>
          <w:sz w:val="24"/>
          <w:szCs w:val="24"/>
        </w:rPr>
        <w:t xml:space="preserve"> zákonů ke dni účinnosti tohoto zákona vykonával Národní výbor hlavního města Prahy.</w:t>
      </w:r>
      <w:r w:rsidR="007616BF">
        <w:rPr>
          <w:rFonts w:ascii="Times New Roman" w:hAnsi="Times New Roman" w:cs="Times New Roman"/>
          <w:sz w:val="24"/>
          <w:szCs w:val="24"/>
        </w:rPr>
        <w:t xml:space="preserve"> </w:t>
      </w:r>
      <w:r w:rsidR="00E40C42">
        <w:rPr>
          <w:rFonts w:ascii="Times New Roman" w:hAnsi="Times New Roman" w:cs="Times New Roman"/>
          <w:sz w:val="24"/>
          <w:szCs w:val="24"/>
        </w:rPr>
        <w:t xml:space="preserve">Podle § 8 odst. 4 zákona č. 111/1967 </w:t>
      </w:r>
      <w:r w:rsidR="009571B8">
        <w:rPr>
          <w:rFonts w:ascii="Times New Roman" w:hAnsi="Times New Roman" w:cs="Times New Roman"/>
          <w:sz w:val="24"/>
          <w:szCs w:val="24"/>
        </w:rPr>
        <w:t>S</w:t>
      </w:r>
      <w:r w:rsidR="00E40C42">
        <w:rPr>
          <w:rFonts w:ascii="Times New Roman" w:hAnsi="Times New Roman" w:cs="Times New Roman"/>
          <w:sz w:val="24"/>
          <w:szCs w:val="24"/>
        </w:rPr>
        <w:t xml:space="preserve">b., o hlavním městě Praze (který byl </w:t>
      </w:r>
      <w:r w:rsidR="00E40C42">
        <w:rPr>
          <w:rFonts w:ascii="Times New Roman" w:hAnsi="Times New Roman" w:cs="Times New Roman"/>
          <w:sz w:val="24"/>
          <w:szCs w:val="24"/>
        </w:rPr>
        <w:lastRenderedPageBreak/>
        <w:t>zrušen zákonem č. 418/1990 Sb.), vykonával Národní výbor hlavního města Prahy působnost náležející podle jiných zákonů a ostatních předpisů národním výborům, pokud ji tento zákon nesvěřoval obvodním národním výborům, což v případě Národního výboru hlavního města Prahy zahrnovalo i působnost krajských národních výborů. Ustanovení § 14 odst. 1 písm. a) zákona č. 418/1990 Sb. mělo povahu speciálního ustanovení k § 18 a příloze č. 2 zákona č. 425/1990 Sb., které přenesly působnost podle § 6 odst. 1 zákona č. 20/1987 Sb. na Ministerstvo kultury a hlavní město Praha v r. 1991 tedy mělo pravomoc vyhlásit podle tohoto ustanovení na území města památkovou zónu. Tento výklad potvrdilo i rozhodnutí Městského soudu v Praze č. j. 5 Ca</w:t>
      </w:r>
      <w:r w:rsidR="007B527E">
        <w:rPr>
          <w:rFonts w:ascii="Times New Roman" w:hAnsi="Times New Roman" w:cs="Times New Roman"/>
          <w:sz w:val="24"/>
          <w:szCs w:val="24"/>
        </w:rPr>
        <w:t xml:space="preserve"> 93/2004 – 81 z 8. března 2006 </w:t>
      </w:r>
      <w:r w:rsidR="00E40C42">
        <w:rPr>
          <w:rFonts w:ascii="Times New Roman" w:hAnsi="Times New Roman" w:cs="Times New Roman"/>
          <w:sz w:val="24"/>
          <w:szCs w:val="24"/>
        </w:rPr>
        <w:t xml:space="preserve">a nebyl rozporován ani rozhodnutím Nejvyššího správního soudu č. j. 3 As 49/2006 – 131 z 14. </w:t>
      </w:r>
      <w:r w:rsidR="00564BD6">
        <w:rPr>
          <w:rFonts w:ascii="Times New Roman" w:hAnsi="Times New Roman" w:cs="Times New Roman"/>
          <w:sz w:val="24"/>
          <w:szCs w:val="24"/>
        </w:rPr>
        <w:t>b</w:t>
      </w:r>
      <w:r w:rsidR="00E40C42">
        <w:rPr>
          <w:rFonts w:ascii="Times New Roman" w:hAnsi="Times New Roman" w:cs="Times New Roman"/>
          <w:sz w:val="24"/>
          <w:szCs w:val="24"/>
        </w:rPr>
        <w:t>řezna 2007 o kasační stížnosti proti tomuto rozsudku.</w:t>
      </w:r>
    </w:p>
    <w:p w:rsidR="00E40C42" w:rsidRDefault="00E40C42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Případný nedostatek projednání návrhu vyhlášky s Ministerstvem kultury by byl procesní vadou legislativního procesu, která by sama o sobě neměla vliv na platnost právního předpisu, jinou otázkou je, zda by absence projednání odůvodňovala zrušení takové vyhlášky pro rozpor způsobu jejího přijetí se zákone</w:t>
      </w:r>
      <w:r w:rsidR="00564B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což by však mohl učinit jen Ústavní soud.</w:t>
      </w:r>
    </w:p>
    <w:p w:rsidR="00C03546" w:rsidRDefault="00C03546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odst. 1 zákona č. 20/1987 Sb. nebyla až do r. 2016 výslovně určena forma, jakou se mají památkové zóny vyhlašovat (od účinnosti zákona č. 127/2016 Sb., kterým se mění zákona č. 20/1987 Sb., o státní památkové péči ve znění pozdějších předpisů se tak děje formou opatření obecné povahy). V § 24 odst. 1 zákona č. 367/1990 Sb., o obcích (obecní zřízení), který se v tomto případě na základě § 41 zákona č. 418/1990 Sb. vztahoval subsidiárně i na hlavní město Prahu, neboť zákon č. 418/1990 Sb. neměl speciální úpravu vydávání právních předpisů, bylo stanoveno, že obec mohla vydávat obecně závazné vyhlášky ve věcech patřících do přenesené působnosti na základě zmocnění v zákoně a v jeho mezích.</w:t>
      </w:r>
    </w:p>
    <w:p w:rsidR="00C03546" w:rsidRDefault="00C03546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daném případě šlo o přenesenou působnost, tedy státní správu, neboť krajské národní výbory jako orgány státní moci a správy (čl. 86 odst. 1 ústavního zákona č. 100/1960 Sb., Ústava Československé socialistické republiky a § 1 odst. 1 zákona č. 69/1967 Sb., o národních výborech) nic jiného než státní správu nevykonávaly. Působnost stanovená v § 6 odst. 1 zákona č. 20/1987 Sb., která po zrušení krajských národních výborů přešla na Ministerstvo kultury a v případě hlavního města Prahy na orgány hlavního města Prahy, byl</w:t>
      </w:r>
      <w:r w:rsidR="00DF2EEF">
        <w:rPr>
          <w:rFonts w:ascii="Times New Roman" w:hAnsi="Times New Roman" w:cs="Times New Roman"/>
          <w:sz w:val="24"/>
          <w:szCs w:val="24"/>
        </w:rPr>
        <w:t>a proto státní správou a nikoliv samosprávou.</w:t>
      </w:r>
    </w:p>
    <w:p w:rsidR="00DF2EEF" w:rsidRDefault="00DF2EEF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Sporné nicméně je, zda na základě § 6 odst. 1 zákona č. 20/1987 Sb. bylo možno vydat o vyhlášení památkové zóny právní předpis, když zde tato forma výslovně uvedena nebyla ani před r. 1990 a ani poté. V čl. 86 odst. 5 ústavního zákona č. 100/1960 Sb., Ústava Československé socialistické republiky bylo přitom v r. 1991 stanoveno, že obec může vydávat vyhlášky ve věcech státní správy, byla-li k tomu zmocněna zákonem, což se vykládalo jako nutnost výslovného zákonného zmocnění, včetně stanovené formy právního předp</w:t>
      </w:r>
      <w:r w:rsidR="00483E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483E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Samo Ministerstvo kultury nicméně na základě § 6 odst. 1 zákona č. 20/1987 Sb. po r. 1990 několik památkových zón svými vyhláškami vyhlásilo a jejich platnost nebyla nikdy zpochybněna. Od účinnosti zákona č. 131/2000 Sb., o hlavním městě Praze, ve znění pozdějších předpisů orgány hlavního města Prahy podle § 6 odst. 1 zákona č. 20/1987 Sb. již žádnou působnost nemají.</w:t>
      </w:r>
    </w:p>
    <w:p w:rsidR="00DF2EEF" w:rsidRDefault="00DF2EEF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účinnosti zákona č. 127/2016 Sb., kterým se mění zákon č. 20/1987 Sb., o státní památkové péči, ve znění pozdějších p</w:t>
      </w:r>
      <w:r w:rsidR="002C6CFE">
        <w:rPr>
          <w:rFonts w:ascii="Times New Roman" w:hAnsi="Times New Roman" w:cs="Times New Roman"/>
          <w:sz w:val="24"/>
          <w:szCs w:val="24"/>
        </w:rPr>
        <w:t>ředpisů</w:t>
      </w:r>
      <w:r w:rsidR="00347154">
        <w:rPr>
          <w:rFonts w:ascii="Times New Roman" w:hAnsi="Times New Roman" w:cs="Times New Roman"/>
          <w:sz w:val="24"/>
          <w:szCs w:val="24"/>
        </w:rPr>
        <w:t>,</w:t>
      </w:r>
      <w:r w:rsidR="002C6CFE">
        <w:rPr>
          <w:rFonts w:ascii="Times New Roman" w:hAnsi="Times New Roman" w:cs="Times New Roman"/>
          <w:sz w:val="24"/>
          <w:szCs w:val="24"/>
        </w:rPr>
        <w:t xml:space="preserve"> se památkové zóny vyhla</w:t>
      </w:r>
      <w:r>
        <w:rPr>
          <w:rFonts w:ascii="Times New Roman" w:hAnsi="Times New Roman" w:cs="Times New Roman"/>
          <w:sz w:val="24"/>
          <w:szCs w:val="24"/>
        </w:rPr>
        <w:t>šují formou opatření obecné povahy, přičemž v čl. II tohoto zákona je uvedeno, že při změnách památkových zón, které byly stanoveny právními předpisy podle dosavadních právních předpisů, se postupuje podle § 6 zákona č. 20/1987 Sb. ve znění účinném ode dne nabytí účinnosti tohoto zákona. To znamená, že tyto dříve vyhlášené památkové zóny lze měnit (nebo rušit) jen opatřeními obecné povahy.</w:t>
      </w:r>
    </w:p>
    <w:p w:rsidR="00B57614" w:rsidRDefault="00DF2EEF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kontextu s judikaturou Nevyššího správního soudu k zákonům, které v nedávané době rovněž změnily formu správních aktů dříve vydávaných v jiné formě na opatření obecné </w:t>
      </w:r>
      <w:r>
        <w:rPr>
          <w:rFonts w:ascii="Times New Roman" w:hAnsi="Times New Roman" w:cs="Times New Roman"/>
          <w:sz w:val="24"/>
          <w:szCs w:val="24"/>
        </w:rPr>
        <w:lastRenderedPageBreak/>
        <w:t>povahy (např. S. NSS č. 2464/2012 k obdobné situaci, která vznikla v důsledku novelizace zákona č. 114/1992 Sb. a absence výslovných přechodných ustanovení v</w:t>
      </w:r>
      <w:r w:rsidR="007B527E">
        <w:rPr>
          <w:rFonts w:ascii="Times New Roman" w:hAnsi="Times New Roman" w:cs="Times New Roman"/>
          <w:sz w:val="24"/>
          <w:szCs w:val="24"/>
        </w:rPr>
        <w:t> této novele v případě návštěvní</w:t>
      </w:r>
      <w:r>
        <w:rPr>
          <w:rFonts w:ascii="Times New Roman" w:hAnsi="Times New Roman" w:cs="Times New Roman"/>
          <w:sz w:val="24"/>
          <w:szCs w:val="24"/>
        </w:rPr>
        <w:t>ch řádů národních parků, která by postavila najisto, jak hledět po novele na dříve vydané návštěvní řády původně vydávané jako nařízení, tedy právní předpisy, a po novele pak jako opatření obecné povahy), lze</w:t>
      </w:r>
      <w:r w:rsidR="00B57614">
        <w:rPr>
          <w:rFonts w:ascii="Times New Roman" w:hAnsi="Times New Roman" w:cs="Times New Roman"/>
          <w:sz w:val="24"/>
          <w:szCs w:val="24"/>
        </w:rPr>
        <w:t xml:space="preserve"> dojít k závěru, že správní akty, kterými byly před účinností zákona č. 127/2016 Sb. vyhlášeny na základě § 6 odst. 1 zákona č. 20/1987 Sb. památkové zóny, se účinností této novely a</w:t>
      </w:r>
      <w:r w:rsidR="00B57614" w:rsidRPr="00DF15CC">
        <w:rPr>
          <w:rFonts w:ascii="Times New Roman" w:hAnsi="Times New Roman" w:cs="Times New Roman"/>
          <w:sz w:val="24"/>
          <w:szCs w:val="24"/>
        </w:rPr>
        <w:t>utomaticky transformovaly na opatření obecné povahy (jinak by nebylo možné je měnit postupem</w:t>
      </w:r>
      <w:r w:rsidR="00B57614">
        <w:rPr>
          <w:rFonts w:ascii="Times New Roman" w:hAnsi="Times New Roman" w:cs="Times New Roman"/>
          <w:sz w:val="24"/>
          <w:szCs w:val="24"/>
        </w:rPr>
        <w:t xml:space="preserve"> podle § 6 zákona č. 20/1987 Sb. v současném znění). Pravomoc vyhlašovat, měnit nebo rušit památkové zóny má tak dnes Ministerstvo kultury, a to ve formě opatření obecné povahy podle části šesté správního řádu.</w:t>
      </w:r>
    </w:p>
    <w:p w:rsidR="00B57614" w:rsidRDefault="00B57614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Naopak Ministerstvo vnitra žádnou působnost ve vztahu k obecně závazné vyhlášce č. 15/1991 Sb., o prohlášení části území hlavního města Prahy za památkové zóny a o určení podmínek jejich ochrany, nemá. V daném případě nešlo o výkon samostatné, ale přenesené působnosti hlavního města Prahy a Ministerstvo vnitra vykonává podle § 106 a násl., resp. § 113 a násl. </w:t>
      </w:r>
      <w:r w:rsidR="00365BB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ákona č. 131/2000 Sb. dozor pouze nad samostatnou působností hlavního města Prahy. V současné době navíc hlavní město Praha v této věci nemá žádnou působnost, která by mohla být předmětem dozoru ze strany ústředních správních úřadů.</w:t>
      </w:r>
    </w:p>
    <w:p w:rsidR="001A6A91" w:rsidRPr="002C6CFE" w:rsidRDefault="001A6A91" w:rsidP="001A6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A91" w:rsidRPr="002C6CFE" w:rsidRDefault="001A6A91" w:rsidP="001A6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4B9" w:rsidRPr="002C6CFE" w:rsidRDefault="001A6A91" w:rsidP="001A6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CFE">
        <w:rPr>
          <w:rFonts w:ascii="Times New Roman" w:hAnsi="Times New Roman" w:cs="Times New Roman"/>
          <w:sz w:val="16"/>
          <w:szCs w:val="16"/>
        </w:rPr>
        <w:t xml:space="preserve">Revize aktuálnosti textu stanoviska proběhla naposledy dne: </w:t>
      </w:r>
      <w:r w:rsidR="00347154">
        <w:rPr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B55013">
        <w:rPr>
          <w:rFonts w:ascii="Times New Roman" w:hAnsi="Times New Roman" w:cs="Times New Roman"/>
          <w:sz w:val="16"/>
          <w:szCs w:val="16"/>
        </w:rPr>
        <w:t>. února 202</w:t>
      </w:r>
      <w:r w:rsidR="00347154">
        <w:rPr>
          <w:rFonts w:ascii="Times New Roman" w:hAnsi="Times New Roman" w:cs="Times New Roman"/>
          <w:sz w:val="16"/>
          <w:szCs w:val="16"/>
        </w:rPr>
        <w:t>3</w:t>
      </w:r>
    </w:p>
    <w:sectPr w:rsidR="00CD64B9" w:rsidRPr="002C6C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9AD" w:rsidRDefault="00C349AD" w:rsidP="00223F9C">
      <w:pPr>
        <w:spacing w:after="0" w:line="240" w:lineRule="auto"/>
      </w:pPr>
      <w:r>
        <w:separator/>
      </w:r>
    </w:p>
  </w:endnote>
  <w:endnote w:type="continuationSeparator" w:id="0">
    <w:p w:rsidR="00C349AD" w:rsidRDefault="00C349AD" w:rsidP="0022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930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F9C" w:rsidRPr="00223F9C" w:rsidRDefault="00223F9C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3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3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3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C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3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3F9C" w:rsidRDefault="00223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9AD" w:rsidRDefault="00C349AD" w:rsidP="00223F9C">
      <w:pPr>
        <w:spacing w:after="0" w:line="240" w:lineRule="auto"/>
      </w:pPr>
      <w:r>
        <w:separator/>
      </w:r>
    </w:p>
  </w:footnote>
  <w:footnote w:type="continuationSeparator" w:id="0">
    <w:p w:rsidR="00C349AD" w:rsidRDefault="00C349AD" w:rsidP="0022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B9"/>
    <w:rsid w:val="001A6A91"/>
    <w:rsid w:val="00223F9C"/>
    <w:rsid w:val="002560D5"/>
    <w:rsid w:val="002C6CFE"/>
    <w:rsid w:val="00347154"/>
    <w:rsid w:val="00365BBE"/>
    <w:rsid w:val="003702A8"/>
    <w:rsid w:val="00374D9C"/>
    <w:rsid w:val="00483E68"/>
    <w:rsid w:val="004B6BFF"/>
    <w:rsid w:val="004E6E06"/>
    <w:rsid w:val="004F29FE"/>
    <w:rsid w:val="00564BD6"/>
    <w:rsid w:val="005A29D3"/>
    <w:rsid w:val="007616BF"/>
    <w:rsid w:val="00782926"/>
    <w:rsid w:val="007B50C1"/>
    <w:rsid w:val="007B527E"/>
    <w:rsid w:val="009571B8"/>
    <w:rsid w:val="00B55013"/>
    <w:rsid w:val="00B57614"/>
    <w:rsid w:val="00C03546"/>
    <w:rsid w:val="00C349AD"/>
    <w:rsid w:val="00CD64B9"/>
    <w:rsid w:val="00DF2EEF"/>
    <w:rsid w:val="00E115EF"/>
    <w:rsid w:val="00E40C42"/>
    <w:rsid w:val="00EC3D5C"/>
    <w:rsid w:val="00ED6C34"/>
    <w:rsid w:val="00F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7423"/>
  <w15:docId w15:val="{2FA246B6-DCA9-4A89-9CEA-23E46056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2C6CFE"/>
    <w:pPr>
      <w:widowControl w:val="0"/>
      <w:autoSpaceDE w:val="0"/>
      <w:autoSpaceDN w:val="0"/>
      <w:spacing w:after="0" w:line="240" w:lineRule="auto"/>
      <w:ind w:left="3"/>
      <w:outlineLvl w:val="0"/>
    </w:pPr>
    <w:rPr>
      <w:rFonts w:ascii="Courier New" w:eastAsia="Courier New" w:hAnsi="Courier New" w:cs="Courier New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F9C"/>
  </w:style>
  <w:style w:type="paragraph" w:styleId="Zpat">
    <w:name w:val="footer"/>
    <w:basedOn w:val="Normln"/>
    <w:link w:val="ZpatChar"/>
    <w:uiPriority w:val="99"/>
    <w:unhideWhenUsed/>
    <w:rsid w:val="0022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F9C"/>
  </w:style>
  <w:style w:type="character" w:customStyle="1" w:styleId="Nadpis1Char">
    <w:name w:val="Nadpis 1 Char"/>
    <w:basedOn w:val="Standardnpsmoodstavce"/>
    <w:link w:val="Nadpis1"/>
    <w:uiPriority w:val="1"/>
    <w:rsid w:val="002C6CFE"/>
    <w:rPr>
      <w:rFonts w:ascii="Courier New" w:eastAsia="Courier New" w:hAnsi="Courier New" w:cs="Courier New"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Hrdlicová</dc:creator>
  <cp:lastModifiedBy>Mašková Pavla</cp:lastModifiedBy>
  <cp:revision>2</cp:revision>
  <dcterms:created xsi:type="dcterms:W3CDTF">2023-02-28T11:02:00Z</dcterms:created>
  <dcterms:modified xsi:type="dcterms:W3CDTF">2023-02-28T11:02:00Z</dcterms:modified>
</cp:coreProperties>
</file>