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D2B" w:rsidRDefault="00641D2B" w:rsidP="00641D2B">
      <w:pPr>
        <w:jc w:val="center"/>
        <w:rPr>
          <w:b/>
          <w:sz w:val="48"/>
          <w:szCs w:val="48"/>
        </w:rPr>
      </w:pPr>
      <w:r w:rsidRPr="00AF1324">
        <w:rPr>
          <w:b/>
          <w:sz w:val="48"/>
          <w:szCs w:val="48"/>
        </w:rPr>
        <w:t>Stanovisko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Ministerstva</w:t>
      </w:r>
      <w:r>
        <w:rPr>
          <w:b/>
          <w:sz w:val="48"/>
          <w:szCs w:val="48"/>
        </w:rPr>
        <w:t xml:space="preserve"> kultury</w:t>
      </w:r>
    </w:p>
    <w:p w:rsidR="00641D2B" w:rsidRDefault="001A0F35" w:rsidP="00641D2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památkové inspekce</w:t>
      </w:r>
    </w:p>
    <w:p w:rsidR="00641D2B" w:rsidRPr="00AF1324" w:rsidRDefault="00641D2B" w:rsidP="00641D2B">
      <w:pPr>
        <w:jc w:val="center"/>
        <w:rPr>
          <w:b/>
          <w:sz w:val="48"/>
          <w:szCs w:val="48"/>
        </w:rPr>
      </w:pPr>
    </w:p>
    <w:p w:rsidR="00641D2B" w:rsidRDefault="00641D2B" w:rsidP="00641D2B">
      <w:pPr>
        <w:jc w:val="center"/>
        <w:rPr>
          <w:b/>
          <w:sz w:val="48"/>
          <w:szCs w:val="48"/>
        </w:rPr>
      </w:pPr>
      <w:r w:rsidRPr="00AF1324">
        <w:rPr>
          <w:b/>
          <w:sz w:val="48"/>
          <w:szCs w:val="48"/>
        </w:rPr>
        <w:t>č.j.</w:t>
      </w:r>
      <w:r>
        <w:rPr>
          <w:b/>
          <w:sz w:val="48"/>
          <w:szCs w:val="48"/>
        </w:rPr>
        <w:t xml:space="preserve"> </w:t>
      </w:r>
      <w:r w:rsidRPr="00641D2B">
        <w:rPr>
          <w:b/>
          <w:sz w:val="48"/>
          <w:szCs w:val="48"/>
        </w:rPr>
        <w:t xml:space="preserve">MK 29157/2015 </w:t>
      </w:r>
      <w:r w:rsidRPr="00BA129D">
        <w:rPr>
          <w:b/>
          <w:sz w:val="48"/>
          <w:szCs w:val="48"/>
        </w:rPr>
        <w:t>P</w:t>
      </w:r>
      <w:r>
        <w:rPr>
          <w:b/>
          <w:sz w:val="48"/>
          <w:szCs w:val="48"/>
        </w:rPr>
        <w:t xml:space="preserve">I </w:t>
      </w:r>
      <w:r w:rsidRPr="00AF1324">
        <w:rPr>
          <w:b/>
          <w:sz w:val="48"/>
          <w:szCs w:val="48"/>
        </w:rPr>
        <w:t>ze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dne</w:t>
      </w:r>
      <w:r>
        <w:rPr>
          <w:b/>
          <w:sz w:val="48"/>
          <w:szCs w:val="48"/>
        </w:rPr>
        <w:t xml:space="preserve"> </w:t>
      </w:r>
    </w:p>
    <w:p w:rsidR="00641D2B" w:rsidRPr="00AF1324" w:rsidRDefault="00641D2B" w:rsidP="00641D2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5. května 2015</w:t>
      </w:r>
    </w:p>
    <w:p w:rsidR="00641D2B" w:rsidRDefault="00641D2B" w:rsidP="00641D2B">
      <w:pPr>
        <w:ind w:left="567" w:hanging="567"/>
        <w:jc w:val="both"/>
      </w:pPr>
    </w:p>
    <w:p w:rsidR="00641D2B" w:rsidRDefault="00641D2B" w:rsidP="00641D2B">
      <w:pPr>
        <w:ind w:left="567" w:hanging="567"/>
        <w:jc w:val="both"/>
      </w:pPr>
    </w:p>
    <w:p w:rsidR="00641D2B" w:rsidRDefault="00641D2B" w:rsidP="00641D2B">
      <w:pPr>
        <w:ind w:left="567" w:hanging="567"/>
        <w:jc w:val="both"/>
      </w:pPr>
    </w:p>
    <w:p w:rsidR="00641D2B" w:rsidRPr="00611702" w:rsidRDefault="00641D2B" w:rsidP="00641D2B">
      <w:pPr>
        <w:autoSpaceDE w:val="0"/>
        <w:autoSpaceDN w:val="0"/>
        <w:adjustRightInd w:val="0"/>
        <w:ind w:left="709" w:hanging="709"/>
        <w:jc w:val="both"/>
        <w:rPr>
          <w:rFonts w:ascii="Times-Bold" w:eastAsiaTheme="minorHAnsi" w:hAnsi="Times-Bold" w:cs="Times-Bold"/>
          <w:b/>
          <w:bCs/>
          <w:color w:val="000000"/>
          <w:lang w:eastAsia="en-US"/>
        </w:rPr>
      </w:pPr>
      <w:r w:rsidRPr="00611702">
        <w:t xml:space="preserve">Věc: </w:t>
      </w:r>
      <w:r w:rsidRPr="00611702">
        <w:tab/>
      </w:r>
      <w:r w:rsidRPr="00611702">
        <w:rPr>
          <w:rFonts w:eastAsiaTheme="minorHAnsi"/>
          <w:bCs/>
          <w:color w:val="000000"/>
          <w:lang w:eastAsia="en-US"/>
        </w:rPr>
        <w:t>Procesní postup při vymezování ochranného pásma dle § 17 zákona o státní památkové péči</w:t>
      </w:r>
    </w:p>
    <w:p w:rsidR="00641D2B" w:rsidRPr="00611702" w:rsidRDefault="00641D2B" w:rsidP="00641D2B">
      <w:pPr>
        <w:autoSpaceDE w:val="0"/>
        <w:autoSpaceDN w:val="0"/>
        <w:adjustRightInd w:val="0"/>
        <w:ind w:firstLine="709"/>
        <w:jc w:val="both"/>
      </w:pPr>
    </w:p>
    <w:p w:rsidR="00641D2B" w:rsidRPr="00611702" w:rsidRDefault="00641D2B" w:rsidP="00641D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11702">
        <w:rPr>
          <w:rFonts w:eastAsiaTheme="minorHAnsi"/>
          <w:color w:val="000000"/>
          <w:lang w:eastAsia="en-US"/>
        </w:rPr>
        <w:t>Na Památkovou inspekci se obrátil krajský úřad s žádostí o výklad ustanovení § 17 zákona č. 20/1987 Sb., o státní památkové péči, ve znění pozdějších předpisů (dále jen „zákon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o státní památkové péči“) konkrétně postupu v řízení o vymezení ochranného pásma městské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památkové zóny, kdy je toto vedeno u místně příslušného obecního úřadu obce s</w:t>
      </w:r>
      <w:r w:rsidR="000B7CF1" w:rsidRPr="00611702">
        <w:rPr>
          <w:rFonts w:eastAsiaTheme="minorHAnsi"/>
          <w:color w:val="000000"/>
          <w:lang w:eastAsia="en-US"/>
        </w:rPr>
        <w:t> </w:t>
      </w:r>
      <w:r w:rsidRPr="00611702">
        <w:rPr>
          <w:rFonts w:eastAsiaTheme="minorHAnsi"/>
          <w:color w:val="000000"/>
          <w:lang w:eastAsia="en-US"/>
        </w:rPr>
        <w:t>rozšířenou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působností na návrh krajského úřadu.</w:t>
      </w:r>
    </w:p>
    <w:p w:rsidR="00641D2B" w:rsidRPr="00611702" w:rsidRDefault="00641D2B" w:rsidP="00641D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11702">
        <w:rPr>
          <w:rFonts w:eastAsiaTheme="minorHAnsi"/>
          <w:color w:val="000000"/>
          <w:lang w:eastAsia="en-US"/>
        </w:rPr>
        <w:t>Dle jednoho z názorů se jedná o řízení zahajované na žádost a v souladu s § 45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správního řádu žádost má mít náležitosti uvedené v § 37 odst. 2 správního řádu a přiměřeně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rovněž náležitosti stanovené v příloze 5 vyhlášky č. 503/2006 Sb., o podrobnější úpravě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územního řízení, územního opatření a stavebního řádu</w:t>
      </w:r>
      <w:r w:rsidR="00611702" w:rsidRPr="00611702">
        <w:rPr>
          <w:rFonts w:eastAsiaTheme="minorHAnsi"/>
          <w:color w:val="000000"/>
          <w:lang w:eastAsia="en-US"/>
        </w:rPr>
        <w:t xml:space="preserve"> </w:t>
      </w:r>
      <w:r w:rsidR="006E17C9">
        <w:rPr>
          <w:i/>
          <w:color w:val="0000FF"/>
        </w:rPr>
        <w:t>[k datu revize je platnost tohoto stavebního zákona omezena datem 1. 7. 2024, kdy nabude účinnost jako celek zákon č. 283/2021 Sb., stavební zákon, poznámka vydavatele</w:t>
      </w:r>
      <w:r w:rsidR="00611702" w:rsidRPr="00611702">
        <w:rPr>
          <w:i/>
          <w:color w:val="0000FF"/>
        </w:rPr>
        <w:t>]</w:t>
      </w:r>
      <w:r w:rsidRPr="00611702">
        <w:rPr>
          <w:rFonts w:eastAsiaTheme="minorHAnsi"/>
          <w:color w:val="000000"/>
          <w:lang w:eastAsia="en-US"/>
        </w:rPr>
        <w:t>. Dle uvedené vyhlášky je povinnou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přílohou žádosti o vymezení ochranného pásma souhlas vlastníka pozemku/stavby, na němž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má být ochranné pásmo vymezeno (žadatel o prohlášení ochranného pásma je odlišný od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vlastníků pozemků). V daném případě podle současného navrženého rozsahu ochranného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pásma se jedná o získání souhlasu od cca 900 účastníků. Mezi známými vlastníky jsou i ti,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kteří žijí v zahraničí, či kterým se nedaří doručit písemnosti. Vlastní dotazy zněly:</w:t>
      </w:r>
    </w:p>
    <w:p w:rsidR="00641D2B" w:rsidRPr="00611702" w:rsidRDefault="00641D2B" w:rsidP="000B7CF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b/>
          <w:bCs/>
          <w:color w:val="000000"/>
          <w:lang w:eastAsia="en-US"/>
        </w:rPr>
      </w:pPr>
      <w:r w:rsidRPr="00611702">
        <w:rPr>
          <w:rFonts w:eastAsiaTheme="minorHAnsi"/>
          <w:b/>
          <w:bCs/>
          <w:color w:val="000000"/>
          <w:lang w:eastAsia="en-US"/>
        </w:rPr>
        <w:t>Je skutečně nezbytné, abychom získali veškeré souhlasy vlastníků</w:t>
      </w:r>
      <w:r w:rsidR="000B7CF1" w:rsidRPr="00611702">
        <w:rPr>
          <w:rFonts w:eastAsiaTheme="minorHAnsi"/>
          <w:b/>
          <w:bCs/>
          <w:color w:val="000000"/>
          <w:lang w:eastAsia="en-US"/>
        </w:rPr>
        <w:t xml:space="preserve"> </w:t>
      </w:r>
      <w:r w:rsidRPr="00611702">
        <w:rPr>
          <w:rFonts w:eastAsiaTheme="minorHAnsi"/>
          <w:b/>
          <w:bCs/>
          <w:color w:val="000000"/>
          <w:lang w:eastAsia="en-US"/>
        </w:rPr>
        <w:t>pozemků/staveb, na nichž bude ochranné pásmo vyhlášeno?</w:t>
      </w:r>
    </w:p>
    <w:p w:rsidR="00641D2B" w:rsidRPr="00611702" w:rsidRDefault="00641D2B" w:rsidP="000B7CF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b/>
          <w:bCs/>
          <w:color w:val="000000"/>
          <w:lang w:eastAsia="en-US"/>
        </w:rPr>
      </w:pPr>
      <w:r w:rsidRPr="00611702">
        <w:rPr>
          <w:rFonts w:eastAsiaTheme="minorHAnsi"/>
          <w:b/>
          <w:bCs/>
          <w:color w:val="000000"/>
          <w:lang w:eastAsia="en-US"/>
        </w:rPr>
        <w:t>Pokud ano, je nutné, aby byly již přílohou návrhu krajského úřadu?</w:t>
      </w:r>
    </w:p>
    <w:p w:rsidR="00641D2B" w:rsidRPr="00611702" w:rsidRDefault="00641D2B" w:rsidP="000B7CF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b/>
          <w:bCs/>
          <w:color w:val="000000"/>
          <w:lang w:eastAsia="en-US"/>
        </w:rPr>
      </w:pPr>
      <w:r w:rsidRPr="00611702">
        <w:rPr>
          <w:rFonts w:eastAsiaTheme="minorHAnsi"/>
          <w:b/>
          <w:bCs/>
          <w:color w:val="000000"/>
          <w:lang w:eastAsia="en-US"/>
        </w:rPr>
        <w:t>Pokud nemusí být již v návrhu, je možné ponechat získání těchto souhlasů na</w:t>
      </w:r>
      <w:r w:rsidR="000B7CF1" w:rsidRPr="00611702">
        <w:rPr>
          <w:rFonts w:eastAsiaTheme="minorHAnsi"/>
          <w:b/>
          <w:bCs/>
          <w:color w:val="000000"/>
          <w:lang w:eastAsia="en-US"/>
        </w:rPr>
        <w:t xml:space="preserve"> </w:t>
      </w:r>
      <w:r w:rsidRPr="00611702">
        <w:rPr>
          <w:rFonts w:eastAsiaTheme="minorHAnsi"/>
          <w:b/>
          <w:bCs/>
          <w:color w:val="000000"/>
          <w:lang w:eastAsia="en-US"/>
        </w:rPr>
        <w:t>obecním úřadu obce s rozšířenou působností, které povede územní řízení o</w:t>
      </w:r>
      <w:r w:rsidR="000B7CF1" w:rsidRPr="00611702">
        <w:rPr>
          <w:rFonts w:eastAsiaTheme="minorHAnsi"/>
          <w:b/>
          <w:bCs/>
          <w:color w:val="000000"/>
          <w:lang w:eastAsia="en-US"/>
        </w:rPr>
        <w:t> </w:t>
      </w:r>
      <w:r w:rsidRPr="00611702">
        <w:rPr>
          <w:rFonts w:eastAsiaTheme="minorHAnsi"/>
          <w:b/>
          <w:bCs/>
          <w:color w:val="000000"/>
          <w:lang w:eastAsia="en-US"/>
        </w:rPr>
        <w:t>ochranném pásmu s velkým počtem účastníků?</w:t>
      </w:r>
    </w:p>
    <w:p w:rsidR="00641D2B" w:rsidRPr="00611702" w:rsidRDefault="00641D2B" w:rsidP="000B7CF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b/>
          <w:bCs/>
          <w:color w:val="000000"/>
          <w:lang w:eastAsia="en-US"/>
        </w:rPr>
      </w:pPr>
      <w:r w:rsidRPr="00611702">
        <w:rPr>
          <w:rFonts w:eastAsiaTheme="minorHAnsi"/>
          <w:b/>
          <w:bCs/>
          <w:color w:val="000000"/>
          <w:lang w:eastAsia="en-US"/>
        </w:rPr>
        <w:t>Jak se vyrovnat s vlastníky, kterým není možné doručit písemnost: úřadu není</w:t>
      </w:r>
      <w:r w:rsidR="000B7CF1" w:rsidRPr="00611702">
        <w:rPr>
          <w:rFonts w:eastAsiaTheme="minorHAnsi"/>
          <w:b/>
          <w:bCs/>
          <w:color w:val="000000"/>
          <w:lang w:eastAsia="en-US"/>
        </w:rPr>
        <w:t xml:space="preserve"> </w:t>
      </w:r>
      <w:r w:rsidRPr="00611702">
        <w:rPr>
          <w:rFonts w:eastAsiaTheme="minorHAnsi"/>
          <w:b/>
          <w:bCs/>
          <w:color w:val="000000"/>
          <w:lang w:eastAsia="en-US"/>
        </w:rPr>
        <w:t>známa adresa v zahraničí/vlastník žije v ČR, ale písemnosti nepřebírá? Může být</w:t>
      </w:r>
      <w:r w:rsidR="000B7CF1" w:rsidRPr="00611702">
        <w:rPr>
          <w:rFonts w:eastAsiaTheme="minorHAnsi"/>
          <w:b/>
          <w:bCs/>
          <w:color w:val="000000"/>
          <w:lang w:eastAsia="en-US"/>
        </w:rPr>
        <w:t xml:space="preserve"> </w:t>
      </w:r>
      <w:r w:rsidRPr="00611702">
        <w:rPr>
          <w:rFonts w:eastAsiaTheme="minorHAnsi"/>
          <w:b/>
          <w:bCs/>
          <w:color w:val="000000"/>
          <w:lang w:eastAsia="en-US"/>
        </w:rPr>
        <w:t>např. ustanoveným opatrovníkem vedoucí odboru, který povede územní řízení o</w:t>
      </w:r>
      <w:r w:rsidR="000B7CF1" w:rsidRPr="00611702">
        <w:rPr>
          <w:rFonts w:eastAsiaTheme="minorHAnsi"/>
          <w:b/>
          <w:bCs/>
          <w:color w:val="000000"/>
          <w:lang w:eastAsia="en-US"/>
        </w:rPr>
        <w:t> </w:t>
      </w:r>
      <w:r w:rsidRPr="00611702">
        <w:rPr>
          <w:rFonts w:eastAsiaTheme="minorHAnsi"/>
          <w:b/>
          <w:bCs/>
          <w:color w:val="000000"/>
          <w:lang w:eastAsia="en-US"/>
        </w:rPr>
        <w:t>ochranném pásmu?</w:t>
      </w:r>
    </w:p>
    <w:p w:rsidR="00641D2B" w:rsidRPr="00611702" w:rsidRDefault="00641D2B" w:rsidP="000B7CF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b/>
          <w:bCs/>
          <w:color w:val="000000"/>
          <w:lang w:eastAsia="en-US"/>
        </w:rPr>
      </w:pPr>
      <w:r w:rsidRPr="00611702">
        <w:rPr>
          <w:rFonts w:eastAsiaTheme="minorHAnsi"/>
          <w:b/>
          <w:bCs/>
          <w:color w:val="000000"/>
          <w:lang w:eastAsia="en-US"/>
        </w:rPr>
        <w:t>Je možné v územním řízení použít veřejnou vyhlášku, nebo je nutné doručovat</w:t>
      </w:r>
      <w:r w:rsidR="000B7CF1" w:rsidRPr="00611702">
        <w:rPr>
          <w:rFonts w:eastAsiaTheme="minorHAnsi"/>
          <w:b/>
          <w:bCs/>
          <w:color w:val="000000"/>
          <w:lang w:eastAsia="en-US"/>
        </w:rPr>
        <w:t xml:space="preserve"> </w:t>
      </w:r>
      <w:r w:rsidRPr="00611702">
        <w:rPr>
          <w:rFonts w:eastAsiaTheme="minorHAnsi"/>
          <w:b/>
          <w:bCs/>
          <w:color w:val="000000"/>
          <w:lang w:eastAsia="en-US"/>
        </w:rPr>
        <w:t>jednotlivě?</w:t>
      </w:r>
    </w:p>
    <w:p w:rsidR="00641D2B" w:rsidRPr="00611702" w:rsidRDefault="00641D2B" w:rsidP="00641D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11702">
        <w:rPr>
          <w:rFonts w:eastAsiaTheme="minorHAnsi"/>
          <w:color w:val="000000"/>
          <w:lang w:eastAsia="en-US"/>
        </w:rPr>
        <w:t>Podle platného právního řádu Ministerstvo kultury není oprávněno podávat závazný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výklad právních předpisů, k tomu by byl v konkrétním případě oprávněn pouze soud. Z</w:t>
      </w:r>
      <w:r w:rsidR="000B7CF1" w:rsidRPr="00611702">
        <w:rPr>
          <w:rFonts w:eastAsiaTheme="minorHAnsi"/>
          <w:color w:val="000000"/>
          <w:lang w:eastAsia="en-US"/>
        </w:rPr>
        <w:t> </w:t>
      </w:r>
      <w:r w:rsidRPr="00611702">
        <w:rPr>
          <w:rFonts w:eastAsiaTheme="minorHAnsi"/>
          <w:color w:val="000000"/>
          <w:lang w:eastAsia="en-US"/>
        </w:rPr>
        <w:t>této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pozice je třeba přijímat níže prezentované názory Ministerstva kultury.</w:t>
      </w:r>
    </w:p>
    <w:p w:rsidR="00641D2B" w:rsidRPr="00611702" w:rsidRDefault="00641D2B" w:rsidP="00641D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11702">
        <w:rPr>
          <w:rFonts w:eastAsiaTheme="minorHAnsi"/>
          <w:color w:val="000000"/>
          <w:lang w:eastAsia="en-US"/>
        </w:rPr>
        <w:t>V prvé řadě je nutné vyjasnit si povahu řízení o vymezení ochranného pásma podle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§</w:t>
      </w:r>
      <w:r w:rsidR="000B7CF1" w:rsidRPr="00611702">
        <w:rPr>
          <w:rFonts w:eastAsiaTheme="minorHAnsi"/>
          <w:color w:val="000000"/>
          <w:lang w:eastAsia="en-US"/>
        </w:rPr>
        <w:t> </w:t>
      </w:r>
      <w:r w:rsidRPr="00611702">
        <w:rPr>
          <w:rFonts w:eastAsiaTheme="minorHAnsi"/>
          <w:color w:val="000000"/>
          <w:lang w:eastAsia="en-US"/>
        </w:rPr>
        <w:t>17 zákona o státní památkové péči. Správní soudy opakovaně dospěly k názoru, že se jedná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 xml:space="preserve">o řízení z moci úřední. Např. Nejvyšší správní soud v rozsudku 4 </w:t>
      </w:r>
      <w:proofErr w:type="spellStart"/>
      <w:r w:rsidRPr="00611702">
        <w:rPr>
          <w:rFonts w:eastAsiaTheme="minorHAnsi"/>
          <w:color w:val="000000"/>
          <w:lang w:eastAsia="en-US"/>
        </w:rPr>
        <w:t>Ans</w:t>
      </w:r>
      <w:proofErr w:type="spellEnd"/>
      <w:r w:rsidRPr="00611702">
        <w:rPr>
          <w:rFonts w:eastAsiaTheme="minorHAnsi"/>
          <w:color w:val="000000"/>
          <w:lang w:eastAsia="en-US"/>
        </w:rPr>
        <w:t xml:space="preserve"> 10/2006 - 59 ze dne 26.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 xml:space="preserve">června </w:t>
      </w:r>
      <w:r w:rsidRPr="00611702">
        <w:rPr>
          <w:rFonts w:eastAsiaTheme="minorHAnsi"/>
          <w:color w:val="000000"/>
          <w:lang w:eastAsia="en-US"/>
        </w:rPr>
        <w:lastRenderedPageBreak/>
        <w:t xml:space="preserve">2007 výslovně konstatoval, že </w:t>
      </w:r>
      <w:r w:rsidRPr="00611702">
        <w:rPr>
          <w:rFonts w:eastAsiaTheme="minorHAnsi"/>
          <w:i/>
          <w:iCs/>
          <w:color w:val="000000"/>
          <w:lang w:eastAsia="en-US"/>
        </w:rPr>
        <w:t>„řízení o vymezení ochranného pásma nemovité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kulturní památky podle § 17 odst. 1 zákona č. 20/1987 Sb., o státní památkové péči, je řízením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zahajovaným z moci úřední, nejedná se o řízení návrhové“</w:t>
      </w:r>
      <w:r w:rsidRPr="00611702">
        <w:rPr>
          <w:rFonts w:eastAsiaTheme="minorHAnsi"/>
          <w:color w:val="000000"/>
          <w:lang w:eastAsia="en-US"/>
        </w:rPr>
        <w:t>. Ke stejnému závěru dospěl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Nejvyšší správní soud v rozsudku 7 As 42/2012 – 44 ze dne 24. srpna 2012. Nejvyšší správní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soud zde odmítl výklad stěžovatele – vlastníka kulturní památky, že řízení o vymezení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ochranného pásma kulturní památky je řízením vedeným na žádost vlastníka kulturní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 xml:space="preserve">památky. </w:t>
      </w:r>
      <w:r w:rsidRPr="00611702">
        <w:rPr>
          <w:rFonts w:eastAsiaTheme="minorHAnsi"/>
          <w:i/>
          <w:iCs/>
          <w:color w:val="000000"/>
          <w:lang w:eastAsia="en-US"/>
        </w:rPr>
        <w:t>„Návrh na vymezení ochranného pásma podle § 17 odst. 1 zákona o státní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památkové péči nelze považovat za návrh účastníka správního řízení, jímž by bylo zahájeno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řízení o takovém návrhu. Návrh je ve skutečnosti podnětem k tomu, aby žalovaný řízení o</w:t>
      </w:r>
      <w:r w:rsidR="000B7CF1" w:rsidRPr="00611702">
        <w:rPr>
          <w:rFonts w:eastAsiaTheme="minorHAnsi"/>
          <w:i/>
          <w:iCs/>
          <w:color w:val="000000"/>
          <w:lang w:eastAsia="en-US"/>
        </w:rPr>
        <w:t> </w:t>
      </w:r>
      <w:r w:rsidRPr="00611702">
        <w:rPr>
          <w:rFonts w:eastAsiaTheme="minorHAnsi"/>
          <w:i/>
          <w:iCs/>
          <w:color w:val="000000"/>
          <w:lang w:eastAsia="en-US"/>
        </w:rPr>
        <w:t>vymezení ochranného pásma nemovité kulturní památky zahájil a sám provedl z</w:t>
      </w:r>
      <w:r w:rsidR="000B7CF1" w:rsidRPr="00611702">
        <w:rPr>
          <w:rFonts w:eastAsiaTheme="minorHAnsi"/>
          <w:i/>
          <w:iCs/>
          <w:color w:val="000000"/>
          <w:lang w:eastAsia="en-US"/>
        </w:rPr>
        <w:t> </w:t>
      </w:r>
      <w:r w:rsidRPr="00611702">
        <w:rPr>
          <w:rFonts w:eastAsiaTheme="minorHAnsi"/>
          <w:i/>
          <w:iCs/>
          <w:color w:val="000000"/>
          <w:lang w:eastAsia="en-US"/>
        </w:rPr>
        <w:t>úřední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povinnosti. Nejvyšší správní soud se ztotožňuje s názorem Městského soudu v Praze,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spočívajícím v tom, že aby bylo založeno veřejné subjektivní právo na vedení řízení a vydání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rozhodnutí ve věci, jež se navíc závažným způsobem dotýká práv jiných osob, musí tak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stanovit zákon. Toto pojetí odpovídá obecně platným principům v oblasti veřejné správy, kdy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jedním ze základních principů je princip oficiality (správní orgány rozhodují z</w:t>
      </w:r>
      <w:r w:rsidR="000B7CF1" w:rsidRPr="00611702">
        <w:rPr>
          <w:rFonts w:eastAsiaTheme="minorHAnsi"/>
          <w:i/>
          <w:iCs/>
          <w:color w:val="000000"/>
          <w:lang w:eastAsia="en-US"/>
        </w:rPr>
        <w:t> </w:t>
      </w:r>
      <w:r w:rsidRPr="00611702">
        <w:rPr>
          <w:rFonts w:eastAsiaTheme="minorHAnsi"/>
          <w:i/>
          <w:iCs/>
          <w:color w:val="000000"/>
          <w:lang w:eastAsia="en-US"/>
        </w:rPr>
        <w:t>úřední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 xml:space="preserve">povinnosti bez návrhu) a princip </w:t>
      </w:r>
      <w:proofErr w:type="spellStart"/>
      <w:r w:rsidRPr="00611702">
        <w:rPr>
          <w:rFonts w:eastAsiaTheme="minorHAnsi"/>
          <w:i/>
          <w:iCs/>
          <w:color w:val="000000"/>
          <w:lang w:eastAsia="en-US"/>
        </w:rPr>
        <w:t>dispozitivnosti</w:t>
      </w:r>
      <w:proofErr w:type="spellEnd"/>
      <w:r w:rsidRPr="00611702">
        <w:rPr>
          <w:rFonts w:eastAsiaTheme="minorHAnsi"/>
          <w:i/>
          <w:iCs/>
          <w:color w:val="000000"/>
          <w:lang w:eastAsia="en-US"/>
        </w:rPr>
        <w:t xml:space="preserve"> (správní orgán rozhoduje na návrh), který se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ale uplatní pouze tam, kde to zákon výslovně stanoví. V rozhodné právní úpravě, kterou je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zákon o státní památkové péči, však takové ustanovení absentuje. Řízení o vymezení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ochranného pásma nemovité kulturní památky podle § 17 odst. 1 zákona o státní památkové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péči je tedy řízením zahajovaným z moci úřední, nejedná se o řízení návrhové. Tomuto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výkladu odpovídá i dikce tohoto ustanovení, podle níž příslušný orgán státní památkové péče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vymezí ochranné pásmo nemovité kulturní památky tehdy, vyžaduje-li to její ochrana nebo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ochrana jejího prostředí. Zákon tak ponechává možnost zahájení řízení na příslušném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 xml:space="preserve">správním orgánu.“ </w:t>
      </w:r>
      <w:r w:rsidRPr="00611702">
        <w:rPr>
          <w:rFonts w:eastAsiaTheme="minorHAnsi"/>
          <w:color w:val="000000"/>
          <w:lang w:eastAsia="en-US"/>
        </w:rPr>
        <w:t>Ke stejnému závěru dospěl Nejvyšší správní soud ve svém rozsudku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 xml:space="preserve">9 As 210/2014 – 29 ze dne 23. dubna 2015, když judikoval, že </w:t>
      </w:r>
      <w:r w:rsidRPr="00611702">
        <w:rPr>
          <w:rFonts w:eastAsiaTheme="minorHAnsi"/>
          <w:i/>
          <w:iCs/>
          <w:color w:val="000000"/>
          <w:lang w:eastAsia="en-US"/>
        </w:rPr>
        <w:t>„řízení o vymezení ochranného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pásma nemovité kulturní památky podle § 17 odst. 1 zákona o státní památkové péči nelze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zahájit návrhem fyzické nebo právnické osoby, i když je vlastníkem uvedené památky, ale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pouze z moci úřední. Nejedná se o řízení návrhové a návrh stěžovatele ze dne 11.</w:t>
      </w:r>
      <w:r w:rsidR="009F2EAC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12. 2003 je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 xml:space="preserve">nutné požadovat za podnět k zahájení řízení.“ </w:t>
      </w:r>
      <w:r w:rsidRPr="00611702">
        <w:rPr>
          <w:rFonts w:eastAsiaTheme="minorHAnsi"/>
          <w:color w:val="000000"/>
          <w:lang w:eastAsia="en-US"/>
        </w:rPr>
        <w:t>Stejný závěr o povaze řízení, tj. že se jedná o</w:t>
      </w:r>
      <w:r w:rsidR="000B7CF1" w:rsidRPr="00611702">
        <w:rPr>
          <w:rFonts w:eastAsiaTheme="minorHAnsi"/>
          <w:color w:val="000000"/>
          <w:lang w:eastAsia="en-US"/>
        </w:rPr>
        <w:t> </w:t>
      </w:r>
      <w:r w:rsidRPr="00611702">
        <w:rPr>
          <w:rFonts w:eastAsiaTheme="minorHAnsi"/>
          <w:color w:val="000000"/>
          <w:lang w:eastAsia="en-US"/>
        </w:rPr>
        <w:t>řízení z moci úřední, lze vztáhnout na vymezení ochranného pásma i u jiného zákonem o</w:t>
      </w:r>
      <w:r w:rsidR="000B7CF1" w:rsidRPr="00611702">
        <w:rPr>
          <w:rFonts w:eastAsiaTheme="minorHAnsi"/>
          <w:color w:val="000000"/>
          <w:lang w:eastAsia="en-US"/>
        </w:rPr>
        <w:t> </w:t>
      </w:r>
      <w:r w:rsidRPr="00611702">
        <w:rPr>
          <w:rFonts w:eastAsiaTheme="minorHAnsi"/>
          <w:color w:val="000000"/>
          <w:lang w:eastAsia="en-US"/>
        </w:rPr>
        <w:t>státní památkové péči chráněného statku.</w:t>
      </w:r>
    </w:p>
    <w:p w:rsidR="00641D2B" w:rsidRPr="00611702" w:rsidRDefault="00641D2B" w:rsidP="00641D2B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  <w:r w:rsidRPr="00611702">
        <w:rPr>
          <w:rFonts w:eastAsiaTheme="minorHAnsi"/>
          <w:color w:val="000000"/>
          <w:lang w:eastAsia="en-US"/>
        </w:rPr>
        <w:t>Ve Vašem dotazu se jedná o vymezení ochranného pásma městské památkové zóny,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které může obecní úřad obce s rozšířenou působností vymezit pouze na návrh krajského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úřadu. Dle názoru Ministerstva kultury krajský úřad nemůže vystupovat v pozici účastníka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řízení, na jehož žádost by bylo řízení vedeno. Krajský úřad nemá postavení právnické osoby a</w:t>
      </w:r>
      <w:r w:rsidR="000B7CF1" w:rsidRPr="00611702">
        <w:rPr>
          <w:rFonts w:eastAsiaTheme="minorHAnsi"/>
          <w:color w:val="000000"/>
          <w:lang w:eastAsia="en-US"/>
        </w:rPr>
        <w:t> </w:t>
      </w:r>
      <w:r w:rsidRPr="00611702">
        <w:rPr>
          <w:rFonts w:eastAsiaTheme="minorHAnsi"/>
          <w:color w:val="000000"/>
          <w:lang w:eastAsia="en-US"/>
        </w:rPr>
        <w:t>dle § 1 odst. 3 zákona č. 129/2000 b., o krajském zřízení, ve znění pozdějších předpisů je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pouze orgánem kraje, ale § 17 zákona o státní památkové péči nestanoví povinnost předložit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návrh na vymezení ochranného pásma městské památkové zóny kraji. Rovněž se v</w:t>
      </w:r>
      <w:r w:rsidR="000B7CF1" w:rsidRPr="00611702">
        <w:rPr>
          <w:rFonts w:eastAsiaTheme="minorHAnsi"/>
          <w:color w:val="000000"/>
          <w:lang w:eastAsia="en-US"/>
        </w:rPr>
        <w:t> </w:t>
      </w:r>
      <w:r w:rsidRPr="00611702">
        <w:rPr>
          <w:rFonts w:eastAsiaTheme="minorHAnsi"/>
          <w:color w:val="000000"/>
          <w:lang w:eastAsia="en-US"/>
        </w:rPr>
        <w:t>řízení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nebude (nemůže) rozhodovat o právech a povinnostech krajského úřadu a ani § 17 zákona o</w:t>
      </w:r>
      <w:r w:rsidR="000B7CF1" w:rsidRPr="00611702">
        <w:rPr>
          <w:rFonts w:eastAsiaTheme="minorHAnsi"/>
          <w:color w:val="000000"/>
          <w:lang w:eastAsia="en-US"/>
        </w:rPr>
        <w:t> </w:t>
      </w:r>
      <w:r w:rsidRPr="00611702">
        <w:rPr>
          <w:rFonts w:eastAsiaTheme="minorHAnsi"/>
          <w:color w:val="000000"/>
          <w:lang w:eastAsia="en-US"/>
        </w:rPr>
        <w:t>státní památkové péči nestanoví kraj jako účastníka řízení. Nejsou tak splněny podmínky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účastenství dané § 27 správního řádu. Obdobná situace nastává např. při prohlašování kulturní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památky podle § 3 zákona o státní památkové péči, kdy v případě, že se jedná o archeologický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nález podle § 23 zákona o státní památkové péči, prohlašuje Ministerstvo kultury tento nález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za kulturní památku jen na návrh Akademie věd České republiky. Ani zde Akademi</w:t>
      </w:r>
      <w:r w:rsidR="009F2EAC" w:rsidRPr="00611702">
        <w:rPr>
          <w:rFonts w:eastAsiaTheme="minorHAnsi"/>
          <w:color w:val="000000"/>
          <w:lang w:eastAsia="en-US"/>
        </w:rPr>
        <w:t>e</w:t>
      </w:r>
      <w:r w:rsidRPr="00611702">
        <w:rPr>
          <w:rFonts w:eastAsiaTheme="minorHAnsi"/>
          <w:color w:val="000000"/>
          <w:lang w:eastAsia="en-US"/>
        </w:rPr>
        <w:t xml:space="preserve"> věd ČR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nevystupuje v postavení účastníka řízení, o jehož právech a povinnostech by bylo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rozhodováno, a který by mohl proti rozhodnutí Ministerstva kultury podat rozklad. Ve</w:t>
      </w:r>
      <w:r w:rsidR="000B7CF1" w:rsidRPr="00611702">
        <w:rPr>
          <w:rFonts w:eastAsiaTheme="minorHAnsi"/>
          <w:color w:val="000000"/>
          <w:lang w:eastAsia="en-US"/>
        </w:rPr>
        <w:t> </w:t>
      </w:r>
      <w:r w:rsidRPr="00611702">
        <w:rPr>
          <w:rFonts w:eastAsiaTheme="minorHAnsi"/>
          <w:color w:val="000000"/>
          <w:lang w:eastAsia="en-US"/>
        </w:rPr>
        <w:t>stanovisku JUDr. Josefa Vedrala, Ph.D. ze dne 30. září 2012 - Stanovisko k</w:t>
      </w:r>
      <w:r w:rsidR="000B7CF1" w:rsidRPr="00611702">
        <w:rPr>
          <w:rFonts w:eastAsiaTheme="minorHAnsi"/>
          <w:color w:val="000000"/>
          <w:lang w:eastAsia="en-US"/>
        </w:rPr>
        <w:t> </w:t>
      </w:r>
      <w:r w:rsidRPr="00611702">
        <w:rPr>
          <w:rFonts w:eastAsiaTheme="minorHAnsi"/>
          <w:color w:val="000000"/>
          <w:lang w:eastAsia="en-US"/>
        </w:rPr>
        <w:t>některým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procesním otázkám spojeným s rozhodováním Ministerstva kultury o prohlašování věcí za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kulturní památky podle § 3 zákona č. 20/1987 Sb., o státní památkové péči, ve znění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pozdějších předpisů publikované na webových stránkách Ministerstva kultury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hyperlink r:id="rId7" w:history="1">
        <w:r w:rsidR="001A0F35" w:rsidRPr="00611702">
          <w:rPr>
            <w:rStyle w:val="Hypertextovodkaz"/>
          </w:rPr>
          <w:t>http://www.mkcr.cz/doc/cms_library/2012_sine_jv.doc</w:t>
        </w:r>
      </w:hyperlink>
      <w:r w:rsidR="000B7CF1" w:rsidRPr="00611702">
        <w:rPr>
          <w:rFonts w:eastAsiaTheme="minorHAnsi"/>
          <w:color w:val="0000FF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 xml:space="preserve">je uvedeno: </w:t>
      </w:r>
      <w:r w:rsidRPr="00611702">
        <w:rPr>
          <w:rFonts w:eastAsiaTheme="minorHAnsi"/>
          <w:i/>
          <w:iCs/>
          <w:color w:val="000000"/>
          <w:lang w:eastAsia="en-US"/>
        </w:rPr>
        <w:t xml:space="preserve">„V případě prohlášení </w:t>
      </w:r>
      <w:r w:rsidRPr="00611702">
        <w:rPr>
          <w:rFonts w:eastAsiaTheme="minorHAnsi"/>
          <w:i/>
          <w:iCs/>
          <w:color w:val="000000"/>
          <w:lang w:eastAsia="en-US"/>
        </w:rPr>
        <w:lastRenderedPageBreak/>
        <w:t>věci za kulturní památku nejde o řízení o žádosti, ve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kterém by jako navrhovatel vystupovala Akademie věd ČR (v takovém případě by vlastník věci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neměl postavení účastníka podle § 27 odst. 1 správního řádu, což vzhledem k důsledkům,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které pro něj rozhodnutí má, nepřipadá v úvahu) ale o řízení z moci úřední a „návrh“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Akademie věd ČR je třeba pokládat za kvalifikovaný podnět k zahájení tohoto řízení.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Ministerstvo je povinno na základě takového „návrhu“ (podnětu) řízení o prohlášení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archeologického nálezu za kulturní památku zahájit - výsledkem takového řízení bude buď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prohlášení věci za kulturní památku, nebo zastavení řízení podle § 66 odst. 2 správního řádu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odůvodněné tím, že důvody pro prohlášení za kulturní památku shledány nebyly.</w:t>
      </w:r>
    </w:p>
    <w:p w:rsidR="00641D2B" w:rsidRPr="00611702" w:rsidRDefault="00641D2B" w:rsidP="00641D2B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  <w:r w:rsidRPr="00611702">
        <w:rPr>
          <w:rFonts w:eastAsiaTheme="minorHAnsi"/>
          <w:i/>
          <w:iCs/>
          <w:color w:val="000000"/>
          <w:lang w:eastAsia="en-US"/>
        </w:rPr>
        <w:t>Akademie věd České republiky není účastníkem řízení o prohlášení archeologického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nálezu za kulturní památku vedeného podle § 3 zákona č. 20/1987 Sb. Jak bylo uvedeno u</w:t>
      </w:r>
      <w:r w:rsidR="000B7CF1" w:rsidRPr="00611702">
        <w:rPr>
          <w:rFonts w:eastAsiaTheme="minorHAnsi"/>
          <w:i/>
          <w:iCs/>
          <w:color w:val="000000"/>
          <w:lang w:eastAsia="en-US"/>
        </w:rPr>
        <w:t> </w:t>
      </w:r>
      <w:r w:rsidRPr="00611702">
        <w:rPr>
          <w:rFonts w:eastAsiaTheme="minorHAnsi"/>
          <w:i/>
          <w:iCs/>
          <w:color w:val="000000"/>
          <w:lang w:eastAsia="en-US"/>
        </w:rPr>
        <w:t>odpovědi na otázku č. 1, jde v případě řízení o prohlášení věci za kulturní památku o řízení z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moci úřední podle § 46 a násl. správního řádu, jehož účastníkem podle § 27 odst. 1 písm. b)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správního řádu je vlastník dotčené věcí jako osoba, které má rozhodnutí založit příslušné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povinnosti (v tomto případě povinnosti vznikají ex lege, ale pouze v důsledku rozhodnutí).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Akademie věd ČR není v tomto řízení ani osobou, která by byla ve svých právech nebo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povinnostech rozhodnutím správního orgánu přímo dotčena (§ 27 odst. 2 správního řádu), ani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jí postavení účastníka řízení nepřiznává zákon, tedy zákon o státní památkové péči, jak to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obecně předpokládá § 27 odst. 3 správního řádu. Akademie věd ČR tím spíše nemůže být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účastníkem podle § 27 odst. 1 správního řádu, neboť rozhodnutí ministerstva jí nemá založit</w:t>
      </w:r>
      <w:r w:rsidR="000B7CF1" w:rsidRPr="00611702">
        <w:rPr>
          <w:rFonts w:eastAsiaTheme="minorHAnsi"/>
          <w:i/>
          <w:iCs/>
          <w:color w:val="000000"/>
          <w:lang w:eastAsia="en-US"/>
        </w:rPr>
        <w:t xml:space="preserve"> </w:t>
      </w:r>
      <w:r w:rsidRPr="00611702">
        <w:rPr>
          <w:rFonts w:eastAsiaTheme="minorHAnsi"/>
          <w:i/>
          <w:iCs/>
          <w:color w:val="000000"/>
          <w:lang w:eastAsia="en-US"/>
        </w:rPr>
        <w:t>ani nové povinnosti ani nová práva.“</w:t>
      </w:r>
    </w:p>
    <w:p w:rsidR="00641D2B" w:rsidRPr="00611702" w:rsidRDefault="00641D2B" w:rsidP="00641D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11702">
        <w:rPr>
          <w:rFonts w:eastAsiaTheme="minorHAnsi"/>
          <w:color w:val="000000"/>
          <w:lang w:eastAsia="en-US"/>
        </w:rPr>
        <w:t>Z výše uvedeného vyplývá, že vymezování ochranného pásma podle § 17 zákona o</w:t>
      </w:r>
      <w:r w:rsidR="000B7CF1" w:rsidRPr="00611702">
        <w:rPr>
          <w:rFonts w:eastAsiaTheme="minorHAnsi"/>
          <w:color w:val="000000"/>
          <w:lang w:eastAsia="en-US"/>
        </w:rPr>
        <w:t> </w:t>
      </w:r>
      <w:r w:rsidRPr="00611702">
        <w:rPr>
          <w:rFonts w:eastAsiaTheme="minorHAnsi"/>
          <w:color w:val="000000"/>
          <w:lang w:eastAsia="en-US"/>
        </w:rPr>
        <w:t>státní památkové péči není řízením o žádosti, ale je vedeno z moci úřední a není zapotřebí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obstarávat souhlasy vlastníků pozemků nebo staveb, na nichž bude ochranné pásmo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vyhlašováno. Jinými slovy není zapotřebí, aby návrhem krajského úřadu na vymezení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ochranného pásma z § 17 zákona o státní památkové péči byl vyplněný formulář přílohy č.</w:t>
      </w:r>
      <w:r w:rsidR="000B7CF1" w:rsidRPr="00611702">
        <w:rPr>
          <w:rFonts w:eastAsiaTheme="minorHAnsi"/>
          <w:color w:val="000000"/>
          <w:lang w:eastAsia="en-US"/>
        </w:rPr>
        <w:t> </w:t>
      </w:r>
      <w:r w:rsidRPr="00611702">
        <w:rPr>
          <w:rFonts w:eastAsiaTheme="minorHAnsi"/>
          <w:color w:val="000000"/>
          <w:lang w:eastAsia="en-US"/>
        </w:rPr>
        <w:t>5</w:t>
      </w:r>
      <w:r w:rsidR="000B7CF1" w:rsidRPr="00611702">
        <w:rPr>
          <w:rFonts w:eastAsiaTheme="minorHAnsi"/>
          <w:color w:val="000000"/>
          <w:lang w:eastAsia="en-US"/>
        </w:rPr>
        <w:t> </w:t>
      </w:r>
      <w:r w:rsidRPr="00611702">
        <w:rPr>
          <w:rFonts w:eastAsiaTheme="minorHAnsi"/>
          <w:color w:val="000000"/>
          <w:lang w:eastAsia="en-US"/>
        </w:rPr>
        <w:t>vyhlášky č. 503/2006 Sb., o podrobnější úpravě územního rozhodování, územního opatření a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stavebního řádu</w:t>
      </w:r>
      <w:r w:rsidR="00611702" w:rsidRPr="00611702">
        <w:rPr>
          <w:rFonts w:eastAsiaTheme="minorHAnsi"/>
          <w:color w:val="000000"/>
          <w:lang w:eastAsia="en-US"/>
        </w:rPr>
        <w:t xml:space="preserve"> </w:t>
      </w:r>
      <w:r w:rsidR="006E17C9">
        <w:rPr>
          <w:i/>
          <w:color w:val="0000FF"/>
        </w:rPr>
        <w:t>[k datu revize je platnost tohoto stavebního zákona omezena datem 1. 7. 2024, kdy nabude účinnost jako celek zákon č. 283/2021 Sb., stavební zákon, poznámka vydavatele</w:t>
      </w:r>
      <w:r w:rsidR="006E17C9" w:rsidRPr="00A901C0">
        <w:rPr>
          <w:i/>
          <w:color w:val="0000FF"/>
        </w:rPr>
        <w:t>]</w:t>
      </w:r>
      <w:r w:rsidR="006E17C9">
        <w:rPr>
          <w:i/>
          <w:color w:val="0000FF"/>
        </w:rPr>
        <w:t xml:space="preserve">, </w:t>
      </w:r>
      <w:r w:rsidRPr="00611702">
        <w:rPr>
          <w:rFonts w:eastAsiaTheme="minorHAnsi"/>
          <w:color w:val="000000"/>
          <w:lang w:eastAsia="en-US"/>
        </w:rPr>
        <w:t>která se vztahuje k řízení o žádosti. Podrobnější obsah náležitostí uvádí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prováděcí vyhláška k zákonu o státní památkové péče č. 66/1988 Sb., v § 17 odst. 1 stanoví,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že vymezení ochranného pásma obsahuje určení předmětu ochrany, důvod vymezení, popis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hranice ochranného pásma, kopii pozemkové mapy se zákresem průběhu hranic ochranného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pásma a stanovení podmínek pro činnosti v ochranném pásmu. Tím je dle názoru Ministerstva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kultury určen i rozsah návrhu, který krajský úřad předloží obecnímu úřadu obce s</w:t>
      </w:r>
      <w:r w:rsidR="000B7CF1" w:rsidRPr="00611702">
        <w:rPr>
          <w:rFonts w:eastAsiaTheme="minorHAnsi"/>
          <w:color w:val="000000"/>
          <w:lang w:eastAsia="en-US"/>
        </w:rPr>
        <w:t> </w:t>
      </w:r>
      <w:r w:rsidRPr="00611702">
        <w:rPr>
          <w:rFonts w:eastAsiaTheme="minorHAnsi"/>
          <w:color w:val="000000"/>
          <w:lang w:eastAsia="en-US"/>
        </w:rPr>
        <w:t>rozšířenou</w:t>
      </w:r>
      <w:r w:rsidR="000B7CF1" w:rsidRPr="00611702">
        <w:rPr>
          <w:rFonts w:eastAsiaTheme="minorHAnsi"/>
          <w:color w:val="000000"/>
          <w:lang w:eastAsia="en-US"/>
        </w:rPr>
        <w:t xml:space="preserve"> </w:t>
      </w:r>
      <w:r w:rsidRPr="00611702">
        <w:rPr>
          <w:rFonts w:eastAsiaTheme="minorHAnsi"/>
          <w:color w:val="000000"/>
          <w:lang w:eastAsia="en-US"/>
        </w:rPr>
        <w:t>působností.</w:t>
      </w:r>
    </w:p>
    <w:p w:rsidR="00641D2B" w:rsidRDefault="00641D2B" w:rsidP="00641D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11702">
        <w:rPr>
          <w:rFonts w:eastAsiaTheme="minorHAnsi"/>
          <w:color w:val="000000"/>
          <w:lang w:eastAsia="en-US"/>
        </w:rPr>
        <w:t>Otázku zahajování řízení i z moci úřední, kde se vyskytuje velké množství účastníků, řeší Závěr č. 135 ze zasedání poradního</w:t>
      </w:r>
      <w:r w:rsidRPr="00641D2B">
        <w:rPr>
          <w:rFonts w:eastAsiaTheme="minorHAnsi"/>
          <w:color w:val="000000"/>
          <w:lang w:eastAsia="en-US"/>
        </w:rPr>
        <w:t xml:space="preserve"> sboru ministra vnitra ke správnímu řádu ze dne 30.</w:t>
      </w:r>
      <w:r w:rsidR="000B7CF1">
        <w:rPr>
          <w:rFonts w:eastAsiaTheme="minorHAnsi"/>
          <w:color w:val="000000"/>
          <w:lang w:eastAsia="en-US"/>
        </w:rPr>
        <w:t> </w:t>
      </w:r>
      <w:r w:rsidRPr="00641D2B">
        <w:rPr>
          <w:rFonts w:eastAsiaTheme="minorHAnsi"/>
          <w:color w:val="000000"/>
          <w:lang w:eastAsia="en-US"/>
        </w:rPr>
        <w:t>května 2014 zveřejněný na webových stránkách Ministerstva vnitra</w:t>
      </w:r>
      <w:r>
        <w:rPr>
          <w:rFonts w:eastAsiaTheme="minorHAnsi"/>
          <w:color w:val="000000"/>
          <w:lang w:eastAsia="en-US"/>
        </w:rPr>
        <w:t xml:space="preserve"> </w:t>
      </w:r>
      <w:hyperlink r:id="rId8" w:history="1">
        <w:r w:rsidRPr="009A0B44">
          <w:rPr>
            <w:rStyle w:val="Hypertextovodkaz"/>
            <w:rFonts w:eastAsiaTheme="minorHAnsi"/>
            <w:lang w:eastAsia="en-US"/>
          </w:rPr>
          <w:t>http://www.mvcr.cz/clanek/zavery-poradniho-sboru-ministra-vnitra-ke-spravnimu-radu.aspx</w:t>
        </w:r>
      </w:hyperlink>
      <w:r>
        <w:rPr>
          <w:rFonts w:eastAsiaTheme="minorHAnsi"/>
          <w:color w:val="0000FF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Poradní sbor dospěl k závěru, že zahájit řízení z moci úřední s velkým množstvím účastníků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 xml:space="preserve">je možné jak pomocí veřejné vyhlášky, tak i doručováním účastníkům </w:t>
      </w:r>
      <w:r w:rsidRPr="00641D2B">
        <w:rPr>
          <w:rFonts w:eastAsiaTheme="minorHAnsi"/>
          <w:i/>
          <w:iCs/>
          <w:color w:val="000000"/>
          <w:lang w:eastAsia="en-US"/>
        </w:rPr>
        <w:t>„Podle § 144 odst. 2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641D2B">
        <w:rPr>
          <w:rFonts w:eastAsiaTheme="minorHAnsi"/>
          <w:i/>
          <w:iCs/>
          <w:color w:val="000000"/>
          <w:lang w:eastAsia="en-US"/>
        </w:rPr>
        <w:t>věty druhé správní řádu je řízení s velkým počtem účastníků zahájeno uplynutím lhůty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641D2B">
        <w:rPr>
          <w:rFonts w:eastAsiaTheme="minorHAnsi"/>
          <w:i/>
          <w:iCs/>
          <w:color w:val="000000"/>
          <w:lang w:eastAsia="en-US"/>
        </w:rPr>
        <w:t>stanovené ve veřejné vyhlášce. Pokud správní orgán doručí oznámení o zahájení řízení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641D2B">
        <w:rPr>
          <w:rFonts w:eastAsiaTheme="minorHAnsi"/>
          <w:i/>
          <w:iCs/>
          <w:color w:val="000000"/>
          <w:lang w:eastAsia="en-US"/>
        </w:rPr>
        <w:t>účastníkovi podle § 27 odst. 1 před uplynutím lhůty stanovené ve veřejné vyhlášce, je řízení s</w:t>
      </w:r>
      <w:r w:rsidR="000B7CF1">
        <w:rPr>
          <w:rFonts w:eastAsiaTheme="minorHAnsi"/>
          <w:i/>
          <w:iCs/>
          <w:color w:val="000000"/>
          <w:lang w:eastAsia="en-US"/>
        </w:rPr>
        <w:t> </w:t>
      </w:r>
      <w:r w:rsidRPr="00641D2B">
        <w:rPr>
          <w:rFonts w:eastAsiaTheme="minorHAnsi"/>
          <w:i/>
          <w:iCs/>
          <w:color w:val="000000"/>
          <w:lang w:eastAsia="en-US"/>
        </w:rPr>
        <w:t xml:space="preserve">velkým počtem účastníků zahájeno již tímto dnem.“ </w:t>
      </w:r>
      <w:r w:rsidRPr="00641D2B">
        <w:rPr>
          <w:rFonts w:eastAsiaTheme="minorHAnsi"/>
          <w:color w:val="000000"/>
          <w:lang w:eastAsia="en-US"/>
        </w:rPr>
        <w:t>Poradní sbor popsal několik možných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variant postupu správního orgánu:</w:t>
      </w:r>
    </w:p>
    <w:p w:rsidR="00641D2B" w:rsidRPr="00641D2B" w:rsidRDefault="00641D2B" w:rsidP="00641D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641D2B" w:rsidRPr="00641D2B" w:rsidRDefault="00641D2B" w:rsidP="00641D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i/>
          <w:iCs/>
          <w:color w:val="000000"/>
          <w:lang w:eastAsia="en-US"/>
        </w:rPr>
      </w:pPr>
      <w:r w:rsidRPr="00641D2B">
        <w:rPr>
          <w:rFonts w:eastAsiaTheme="minorHAnsi"/>
          <w:i/>
          <w:iCs/>
          <w:color w:val="000000"/>
          <w:lang w:eastAsia="en-US"/>
        </w:rPr>
        <w:t xml:space="preserve">správní orgán tedy může i v případě řízení s velkým počtem účastníků vedeného z moci úřední doručovat oznámení o zahájení řízení účastníkům řízení jednotlivě (tak jak to předpokládá § 46 správního řádu) – tento postup připadá v úvahu zvláště, pokud počet </w:t>
      </w:r>
      <w:r w:rsidRPr="00641D2B">
        <w:rPr>
          <w:rFonts w:eastAsiaTheme="minorHAnsi"/>
          <w:i/>
          <w:iCs/>
          <w:color w:val="000000"/>
          <w:lang w:eastAsia="en-US"/>
        </w:rPr>
        <w:lastRenderedPageBreak/>
        <w:t>účastníků významně nepřevyšuje 30, nebo v případě, kdy správní orgán považuje (z jakéhokoliv relevantního důvodu) za účelné doručovat oznámení o zahájení řízení přímo všem účastníkům řízení. Správní orgán by však měl dbát na to, aby takový postup nebyl na újmu rychlosti řízení.</w:t>
      </w:r>
    </w:p>
    <w:p w:rsidR="00641D2B" w:rsidRPr="00641D2B" w:rsidRDefault="00641D2B" w:rsidP="00641D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i/>
          <w:iCs/>
          <w:color w:val="000000"/>
          <w:lang w:eastAsia="en-US"/>
        </w:rPr>
      </w:pPr>
      <w:r w:rsidRPr="00641D2B">
        <w:rPr>
          <w:rFonts w:eastAsiaTheme="minorHAnsi"/>
          <w:i/>
          <w:iCs/>
          <w:color w:val="000000"/>
          <w:lang w:eastAsia="en-US"/>
        </w:rPr>
        <w:t>správní orgán bude uvědomovat o zahájení řízení všechny účastníky veřejnou vyhláškou podle § 144 odst. 2 věty první, okamžik zahájení řízení s velkým počtem účastníků vedeného z moci úřední bude podle § 144 odst. 2 věty druhé určen uplynutím lhůty stanovené ve veřejné vyhlášce; úprava obsažená v § 144 odst. 6 větě druhé, se v tomto případě nepoužije, tj. nebude zapotřebí doručovat hlavním účastníkům podle § 27 odst. 1 b) správního řádu jednotlivě.</w:t>
      </w:r>
    </w:p>
    <w:p w:rsidR="00641D2B" w:rsidRPr="00641D2B" w:rsidRDefault="00641D2B" w:rsidP="00641D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i/>
          <w:iCs/>
          <w:color w:val="000000"/>
          <w:lang w:eastAsia="en-US"/>
        </w:rPr>
      </w:pPr>
      <w:r w:rsidRPr="00641D2B">
        <w:rPr>
          <w:rFonts w:eastAsiaTheme="minorHAnsi"/>
          <w:i/>
          <w:iCs/>
          <w:color w:val="000000"/>
          <w:lang w:eastAsia="en-US"/>
        </w:rPr>
        <w:t>pokud je potřebné zahájit řízení z moci úřední zahájit neprodleně, a není důvodu, aby byl správní orgán nucen vyčkávat s prováděním dalších úkonů v řízení vůči účastníkům podle § 27 odst. 1 písm. b) správního řádu až do uplynutí lhůty stanovené ve veřejné vyhlášce. Dle názoru poradního sboru tedy může správní orgán v tomto případě (za účelem urychlení dalšího postupu v řízení) doručovat oznámení o zahájení řízení přímo účastníkovi řízení uvedenému v § 27 odst. 1 písm. b) správního řádu (tak jak to obecně stanoví § 144 odst. 6 věta druhá správního řádu). V takovém případě se § 144 odst. 2 věta druhá nepoužije. Řízení bude zahájeno již individuálním doručením oznámení o zahájení řízení účastníkovi uvedenému v § 27 odst. 1 písm. b), resp. prvnímu z účastníků podle § 27 odst. 1 písm. b) správního řádu (prvnímu z „hlavních účastníků“) – jak to uvádí § 46 odst. 1, resp. odst. 2 správního řádu. Ostatním účastníkům bude zahájení řízení oznámeno formou veřejné vyhlášky (§ 144 odst. 6 věta první).</w:t>
      </w:r>
    </w:p>
    <w:p w:rsidR="00641D2B" w:rsidRDefault="00641D2B" w:rsidP="00641D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641D2B" w:rsidRPr="00641D2B" w:rsidRDefault="00641D2B" w:rsidP="00641D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41D2B">
        <w:rPr>
          <w:rFonts w:eastAsiaTheme="minorHAnsi"/>
          <w:color w:val="000000"/>
          <w:lang w:eastAsia="en-US"/>
        </w:rPr>
        <w:t>Výše uvedený postup lze použít pouze pro zahájení řízení např. na doručování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rozhodnutí o vymezení ochranného pásma se výše uvedený závěr poradního sboru použít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nedá a zde platí ustanovení § 144 odst. 6 správního řádu, kde je stanoveno, že účastníkům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řízení uvedených v § 27 odst. 1, kteří jsou správnímu orgánu známi, nelze písemnosti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doručovat veřejnou vyhláškou, ale jen jednotlivě.</w:t>
      </w:r>
    </w:p>
    <w:p w:rsidR="00641D2B" w:rsidRPr="00641D2B" w:rsidRDefault="00641D2B" w:rsidP="00641D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41D2B">
        <w:rPr>
          <w:rFonts w:eastAsiaTheme="minorHAnsi"/>
          <w:color w:val="000000"/>
          <w:lang w:eastAsia="en-US"/>
        </w:rPr>
        <w:t>Opatrovníka může správní orgán ustanovit z důvodů uvedených v § 32 odst. 2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správního řádu. V úvahu by připadala následující písmena tohoto ustanovení.</w:t>
      </w:r>
    </w:p>
    <w:p w:rsidR="00641D2B" w:rsidRPr="00641D2B" w:rsidRDefault="00641D2B" w:rsidP="00641D2B">
      <w:pPr>
        <w:pStyle w:val="Odstavecseseznamem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eastAsiaTheme="minorHAnsi"/>
          <w:color w:val="000000"/>
          <w:lang w:eastAsia="en-US"/>
        </w:rPr>
      </w:pPr>
      <w:r w:rsidRPr="00641D2B">
        <w:rPr>
          <w:rFonts w:eastAsiaTheme="minorHAnsi"/>
          <w:color w:val="000000"/>
          <w:lang w:eastAsia="en-US"/>
        </w:rPr>
        <w:t>d) osobám neznámého pobytu nebo sídla a osobám, jimž se prokazatelně nedaří doručovat,</w:t>
      </w:r>
    </w:p>
    <w:p w:rsidR="00641D2B" w:rsidRPr="00641D2B" w:rsidRDefault="00641D2B" w:rsidP="00641D2B">
      <w:pPr>
        <w:pStyle w:val="Odstavecseseznamem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eastAsiaTheme="minorHAnsi"/>
          <w:color w:val="000000"/>
          <w:lang w:eastAsia="en-US"/>
        </w:rPr>
      </w:pPr>
      <w:r w:rsidRPr="00641D2B">
        <w:rPr>
          <w:rFonts w:eastAsiaTheme="minorHAnsi"/>
          <w:color w:val="000000"/>
          <w:lang w:eastAsia="en-US"/>
        </w:rPr>
        <w:t>e) osobám, které nejsou známy,</w:t>
      </w:r>
    </w:p>
    <w:p w:rsidR="00641D2B" w:rsidRPr="00641D2B" w:rsidRDefault="00641D2B" w:rsidP="00641D2B">
      <w:pPr>
        <w:pStyle w:val="Odstavecseseznamem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eastAsiaTheme="minorHAnsi"/>
          <w:color w:val="000000"/>
          <w:lang w:eastAsia="en-US"/>
        </w:rPr>
      </w:pPr>
      <w:r w:rsidRPr="00641D2B">
        <w:rPr>
          <w:rFonts w:eastAsiaTheme="minorHAnsi"/>
          <w:color w:val="000000"/>
          <w:lang w:eastAsia="en-US"/>
        </w:rPr>
        <w:t>h) účastníkům uvedeným v § 27 odst. 1 správního řádu, kterým se nepodařilo oznámit zahájení řízení z moci úřední (§ 46 odst. 2 správního řádu)</w:t>
      </w:r>
    </w:p>
    <w:p w:rsidR="00641D2B" w:rsidRPr="00641D2B" w:rsidRDefault="00641D2B" w:rsidP="00641D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41D2B">
        <w:rPr>
          <w:rFonts w:eastAsiaTheme="minorHAnsi"/>
          <w:color w:val="000000"/>
          <w:lang w:eastAsia="en-US"/>
        </w:rPr>
        <w:t>Co se týče doručování do ciziny nebo osobám neznámého pobytu nebo sídla v</w:t>
      </w:r>
      <w:r>
        <w:rPr>
          <w:rFonts w:eastAsiaTheme="minorHAnsi"/>
          <w:color w:val="000000"/>
          <w:lang w:eastAsia="en-US"/>
        </w:rPr>
        <w:t> </w:t>
      </w:r>
      <w:r w:rsidRPr="00641D2B">
        <w:rPr>
          <w:rFonts w:eastAsiaTheme="minorHAnsi"/>
          <w:color w:val="000000"/>
          <w:lang w:eastAsia="en-US"/>
        </w:rPr>
        <w:t>ustanovení § 32 správního řádu je použit nedokonavý vid – „nedaří se doručovat“, tedy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podmínkou pro prokázání toho, že nedaří doručovat, by měly být minimálně dva neúspěšné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pokusy o doručení. Pokud se nedaří účastníkům řízení doručovat do ciziny, vyplývá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z</w:t>
      </w:r>
      <w:r>
        <w:rPr>
          <w:rFonts w:eastAsiaTheme="minorHAnsi"/>
          <w:color w:val="000000"/>
          <w:lang w:eastAsia="en-US"/>
        </w:rPr>
        <w:t> </w:t>
      </w:r>
      <w:r w:rsidRPr="00641D2B">
        <w:rPr>
          <w:rFonts w:eastAsiaTheme="minorHAnsi"/>
          <w:color w:val="000000"/>
          <w:lang w:eastAsia="en-US"/>
        </w:rPr>
        <w:t>ustanovení § 22 a 32 odst. 2 písm. d) správního řádu správnímu orgánu povinnost ustanovit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takovému účastníku řízení procesního opatrovníka. Odstavec 3 ustanovení § 32 sice z</w:t>
      </w:r>
      <w:r>
        <w:rPr>
          <w:rFonts w:eastAsiaTheme="minorHAnsi"/>
          <w:color w:val="000000"/>
          <w:lang w:eastAsia="en-US"/>
        </w:rPr>
        <w:t> </w:t>
      </w:r>
      <w:r w:rsidRPr="00641D2B">
        <w:rPr>
          <w:rFonts w:eastAsiaTheme="minorHAnsi"/>
          <w:color w:val="000000"/>
          <w:lang w:eastAsia="en-US"/>
        </w:rPr>
        <w:t>této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povinnosti stanovuje výjimku, ale ta na výše popsaný případ nedopadá (tato výjimka by se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týkala pouze takových účastníků, jimž by nebyla ukládána povinnost nebo jimž by nebylo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přiznáváno určité právo, jinými slovy tato výjimka se vztahuje jen na vedlejší účastníky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řízení, jimž v tomto případě vlastníci daného zámku nebudou, ti budou v případě obou řízení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účastníky hlavními).</w:t>
      </w:r>
    </w:p>
    <w:p w:rsidR="00473046" w:rsidRDefault="00641D2B" w:rsidP="00641D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41D2B">
        <w:rPr>
          <w:rFonts w:eastAsiaTheme="minorHAnsi"/>
          <w:color w:val="000000"/>
          <w:lang w:eastAsia="en-US"/>
        </w:rPr>
        <w:t>Za procesního opatrovníka by měla být zvolena osoba, která nebude mít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s</w:t>
      </w:r>
      <w:r>
        <w:rPr>
          <w:rFonts w:eastAsiaTheme="minorHAnsi"/>
          <w:color w:val="000000"/>
          <w:lang w:eastAsia="en-US"/>
        </w:rPr>
        <w:t> </w:t>
      </w:r>
      <w:r w:rsidRPr="00641D2B">
        <w:rPr>
          <w:rFonts w:eastAsiaTheme="minorHAnsi"/>
          <w:color w:val="000000"/>
          <w:lang w:eastAsia="en-US"/>
        </w:rPr>
        <w:t>opatrovaným konflikt zájmů, nebude tedy možné za opatrovníka zvolit vedoucího odboru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městského úřadu, který bude územní rozhodnutí o vymezení ochranného pásma vydávat. Na</w:t>
      </w:r>
      <w:r>
        <w:rPr>
          <w:rFonts w:eastAsiaTheme="minorHAnsi"/>
          <w:color w:val="000000"/>
          <w:lang w:eastAsia="en-US"/>
        </w:rPr>
        <w:t> </w:t>
      </w:r>
      <w:r w:rsidRPr="00641D2B">
        <w:rPr>
          <w:rFonts w:eastAsiaTheme="minorHAnsi"/>
          <w:color w:val="000000"/>
          <w:lang w:eastAsia="en-US"/>
        </w:rPr>
        <w:t>druhou stranu není nezbytné, aby tato osoba s ustanovením opatrovnictví souhlasila (k</w:t>
      </w:r>
      <w:r>
        <w:rPr>
          <w:rFonts w:eastAsiaTheme="minorHAnsi"/>
          <w:color w:val="000000"/>
          <w:lang w:eastAsia="en-US"/>
        </w:rPr>
        <w:t> </w:t>
      </w:r>
      <w:r w:rsidRPr="00641D2B">
        <w:rPr>
          <w:rFonts w:eastAsiaTheme="minorHAnsi"/>
          <w:color w:val="000000"/>
          <w:lang w:eastAsia="en-US"/>
        </w:rPr>
        <w:t>tomu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 xml:space="preserve">viz rozsudek </w:t>
      </w:r>
      <w:r w:rsidRPr="00641D2B">
        <w:rPr>
          <w:rFonts w:eastAsiaTheme="minorHAnsi"/>
          <w:color w:val="000000"/>
          <w:lang w:eastAsia="en-US"/>
        </w:rPr>
        <w:lastRenderedPageBreak/>
        <w:t xml:space="preserve">Nejvyššího správního soudu </w:t>
      </w:r>
      <w:proofErr w:type="spellStart"/>
      <w:r w:rsidRPr="00641D2B">
        <w:rPr>
          <w:rFonts w:eastAsiaTheme="minorHAnsi"/>
          <w:color w:val="000000"/>
          <w:lang w:eastAsia="en-US"/>
        </w:rPr>
        <w:t>sp</w:t>
      </w:r>
      <w:proofErr w:type="spellEnd"/>
      <w:r w:rsidRPr="00641D2B">
        <w:rPr>
          <w:rFonts w:eastAsiaTheme="minorHAnsi"/>
          <w:color w:val="000000"/>
          <w:lang w:eastAsia="en-US"/>
        </w:rPr>
        <w:t>. zn. 8 As 22/2011 – 78 ze dne 27.</w:t>
      </w:r>
      <w:r>
        <w:rPr>
          <w:rFonts w:eastAsiaTheme="minorHAnsi"/>
          <w:color w:val="000000"/>
          <w:lang w:eastAsia="en-US"/>
        </w:rPr>
        <w:t> </w:t>
      </w:r>
      <w:r w:rsidRPr="00641D2B"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> </w:t>
      </w:r>
      <w:r w:rsidRPr="00641D2B">
        <w:rPr>
          <w:rFonts w:eastAsiaTheme="minorHAnsi"/>
          <w:color w:val="000000"/>
          <w:lang w:eastAsia="en-US"/>
        </w:rPr>
        <w:t>2011</w:t>
      </w:r>
      <w:r w:rsidR="00BF7EC9">
        <w:rPr>
          <w:rFonts w:eastAsiaTheme="minorHAnsi"/>
          <w:color w:val="000000"/>
          <w:lang w:eastAsia="en-US"/>
        </w:rPr>
        <w:t>)</w:t>
      </w:r>
      <w:r w:rsidRPr="00641D2B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</w:t>
      </w:r>
      <w:r w:rsidRPr="00641D2B">
        <w:rPr>
          <w:rFonts w:eastAsiaTheme="minorHAnsi"/>
          <w:color w:val="000000"/>
          <w:lang w:eastAsia="en-US"/>
        </w:rPr>
        <w:t>Takový postup, tj. zajištění souhlasu, však lze doporučit.</w:t>
      </w:r>
    </w:p>
    <w:p w:rsidR="000B7CF1" w:rsidRPr="00AF203C" w:rsidRDefault="000B7CF1" w:rsidP="000B7CF1">
      <w:pPr>
        <w:ind w:left="360"/>
        <w:jc w:val="both"/>
      </w:pPr>
    </w:p>
    <w:p w:rsidR="000B7CF1" w:rsidRPr="00AF203C" w:rsidRDefault="000B7CF1" w:rsidP="000B7CF1">
      <w:pPr>
        <w:ind w:left="360"/>
        <w:jc w:val="both"/>
      </w:pPr>
    </w:p>
    <w:p w:rsidR="000B7CF1" w:rsidRPr="00641D2B" w:rsidRDefault="000B7CF1" w:rsidP="000B7CF1">
      <w:pPr>
        <w:jc w:val="right"/>
      </w:pPr>
      <w:r w:rsidRPr="00194421">
        <w:rPr>
          <w:sz w:val="16"/>
          <w:szCs w:val="16"/>
        </w:rPr>
        <w:t xml:space="preserve">Revize aktuálnosti textu stanoviska proběhla naposledy dne: </w:t>
      </w:r>
      <w:r w:rsidR="006E17C9">
        <w:rPr>
          <w:sz w:val="16"/>
          <w:szCs w:val="16"/>
        </w:rPr>
        <w:t>24</w:t>
      </w:r>
      <w:bookmarkStart w:id="0" w:name="_GoBack"/>
      <w:bookmarkEnd w:id="0"/>
      <w:r w:rsidR="00D30847">
        <w:rPr>
          <w:sz w:val="16"/>
          <w:szCs w:val="16"/>
        </w:rPr>
        <w:t>. února 202</w:t>
      </w:r>
      <w:r w:rsidR="006E17C9">
        <w:rPr>
          <w:sz w:val="16"/>
          <w:szCs w:val="16"/>
        </w:rPr>
        <w:t>3</w:t>
      </w:r>
    </w:p>
    <w:sectPr w:rsidR="000B7CF1" w:rsidRPr="00641D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002" w:rsidRDefault="00BF1002" w:rsidP="000B7CF1">
      <w:r>
        <w:separator/>
      </w:r>
    </w:p>
  </w:endnote>
  <w:endnote w:type="continuationSeparator" w:id="0">
    <w:p w:rsidR="00BF1002" w:rsidRDefault="00BF1002" w:rsidP="000B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81972"/>
      <w:docPartObj>
        <w:docPartGallery w:val="Page Numbers (Bottom of Page)"/>
        <w:docPartUnique/>
      </w:docPartObj>
    </w:sdtPr>
    <w:sdtEndPr/>
    <w:sdtContent>
      <w:p w:rsidR="000B7CF1" w:rsidRDefault="000B7C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702">
          <w:rPr>
            <w:noProof/>
          </w:rPr>
          <w:t>5</w:t>
        </w:r>
        <w:r>
          <w:fldChar w:fldCharType="end"/>
        </w:r>
      </w:p>
    </w:sdtContent>
  </w:sdt>
  <w:p w:rsidR="000B7CF1" w:rsidRDefault="000B7C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002" w:rsidRDefault="00BF1002" w:rsidP="000B7CF1">
      <w:r>
        <w:separator/>
      </w:r>
    </w:p>
  </w:footnote>
  <w:footnote w:type="continuationSeparator" w:id="0">
    <w:p w:rsidR="00BF1002" w:rsidRDefault="00BF1002" w:rsidP="000B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1506"/>
    <w:multiLevelType w:val="hybridMultilevel"/>
    <w:tmpl w:val="9490E36E"/>
    <w:lvl w:ilvl="0" w:tplc="1D5812E8">
      <w:start w:val="5"/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019283D"/>
    <w:multiLevelType w:val="hybridMultilevel"/>
    <w:tmpl w:val="B15A4AC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A46984"/>
    <w:multiLevelType w:val="hybridMultilevel"/>
    <w:tmpl w:val="72EADC16"/>
    <w:lvl w:ilvl="0" w:tplc="8DA6BE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AF352E6"/>
    <w:multiLevelType w:val="hybridMultilevel"/>
    <w:tmpl w:val="1368BBD2"/>
    <w:lvl w:ilvl="0" w:tplc="8DA6B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3D2CDF"/>
    <w:multiLevelType w:val="hybridMultilevel"/>
    <w:tmpl w:val="DC32F194"/>
    <w:lvl w:ilvl="0" w:tplc="8DA6B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2B"/>
    <w:rsid w:val="000B7CF1"/>
    <w:rsid w:val="00171744"/>
    <w:rsid w:val="001A0F35"/>
    <w:rsid w:val="002379A6"/>
    <w:rsid w:val="0031269F"/>
    <w:rsid w:val="003577EE"/>
    <w:rsid w:val="00366DB5"/>
    <w:rsid w:val="00380510"/>
    <w:rsid w:val="00473046"/>
    <w:rsid w:val="004B08BA"/>
    <w:rsid w:val="00611702"/>
    <w:rsid w:val="00641D2B"/>
    <w:rsid w:val="006A6C23"/>
    <w:rsid w:val="006E17C9"/>
    <w:rsid w:val="0071604F"/>
    <w:rsid w:val="009F2EAC"/>
    <w:rsid w:val="00BF1002"/>
    <w:rsid w:val="00BF7EC9"/>
    <w:rsid w:val="00C21897"/>
    <w:rsid w:val="00D07B85"/>
    <w:rsid w:val="00D30847"/>
    <w:rsid w:val="00DE0197"/>
    <w:rsid w:val="00E36431"/>
    <w:rsid w:val="00E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6BCD"/>
  <w15:docId w15:val="{8C3E7836-BA52-4D74-8546-B364D2A1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643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643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36431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3643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643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E36431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36431"/>
    <w:rPr>
      <w:rFonts w:ascii="Times New Roman" w:hAnsi="Times New Roman"/>
      <w:i/>
      <w:iCs/>
    </w:rPr>
  </w:style>
  <w:style w:type="character" w:styleId="Zdraznnintenzivn">
    <w:name w:val="Intense Emphasis"/>
    <w:basedOn w:val="Standardnpsmoodstavce"/>
    <w:uiPriority w:val="21"/>
    <w:qFormat/>
    <w:rsid w:val="00E36431"/>
    <w:rPr>
      <w:rFonts w:ascii="Times New Roman" w:hAnsi="Times New Roman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E36431"/>
    <w:rPr>
      <w:rFonts w:ascii="Times New Roman" w:hAnsi="Times New Roman"/>
      <w:b/>
      <w:bCs/>
    </w:rPr>
  </w:style>
  <w:style w:type="character" w:styleId="Odkazjemn">
    <w:name w:val="Subtle Reference"/>
    <w:basedOn w:val="Standardnpsmoodstavce"/>
    <w:uiPriority w:val="31"/>
    <w:qFormat/>
    <w:rsid w:val="00E36431"/>
    <w:rPr>
      <w:rFonts w:ascii="Times New Roman" w:hAnsi="Times New Roman"/>
      <w:smallCaps/>
      <w:color w:val="C0504D" w:themeColor="accent2"/>
      <w:u w:val="single"/>
    </w:rPr>
  </w:style>
  <w:style w:type="paragraph" w:styleId="Odstavecseseznamem">
    <w:name w:val="List Paragraph"/>
    <w:basedOn w:val="Normln"/>
    <w:uiPriority w:val="34"/>
    <w:qFormat/>
    <w:rsid w:val="00641D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D2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B7C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C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C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C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A0F3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8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84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/clanek/zavery-poradniho-sboru-ministra-vnitra-ke-spravnimu-radu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cr.cz/doc/cms_library/2012_sine_jv-346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2238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Zídek Martin</dc:creator>
  <cp:lastModifiedBy>Mašková Pavla</cp:lastModifiedBy>
  <cp:revision>3</cp:revision>
  <dcterms:created xsi:type="dcterms:W3CDTF">2023-02-24T13:53:00Z</dcterms:created>
  <dcterms:modified xsi:type="dcterms:W3CDTF">2023-02-24T13:53:00Z</dcterms:modified>
</cp:coreProperties>
</file>