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5A" w:rsidRDefault="0023185A" w:rsidP="0023185A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23185A" w:rsidRDefault="0023185A" w:rsidP="002318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památkové inspekce</w:t>
      </w:r>
    </w:p>
    <w:p w:rsidR="0023185A" w:rsidRPr="00AF1324" w:rsidRDefault="0023185A" w:rsidP="0023185A">
      <w:pPr>
        <w:jc w:val="center"/>
        <w:rPr>
          <w:b/>
          <w:sz w:val="48"/>
          <w:szCs w:val="48"/>
        </w:rPr>
      </w:pPr>
    </w:p>
    <w:p w:rsidR="0023185A" w:rsidRDefault="0023185A" w:rsidP="0023185A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23185A">
        <w:rPr>
          <w:b/>
          <w:sz w:val="48"/>
          <w:szCs w:val="48"/>
        </w:rPr>
        <w:t>MK 37571/2014 PI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23185A" w:rsidRPr="00AF1324" w:rsidRDefault="0023185A" w:rsidP="002318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28. července 2014</w:t>
      </w:r>
    </w:p>
    <w:p w:rsidR="0023185A" w:rsidRPr="00D813F2" w:rsidRDefault="0023185A" w:rsidP="0023185A"/>
    <w:p w:rsidR="0023185A" w:rsidRPr="00D813F2" w:rsidRDefault="0023185A" w:rsidP="0023185A"/>
    <w:p w:rsidR="0023185A" w:rsidRPr="00D813F2" w:rsidRDefault="0023185A" w:rsidP="0023185A">
      <w:pPr>
        <w:jc w:val="both"/>
      </w:pPr>
    </w:p>
    <w:p w:rsidR="0023185A" w:rsidRPr="0023185A" w:rsidRDefault="0023185A" w:rsidP="0023185A">
      <w:pPr>
        <w:rPr>
          <w:bCs/>
          <w:iCs/>
        </w:rPr>
      </w:pPr>
      <w:r w:rsidRPr="0023185A">
        <w:rPr>
          <w:bCs/>
          <w:iCs/>
        </w:rPr>
        <w:t>Věc:</w:t>
      </w:r>
      <w:r w:rsidRPr="0023185A">
        <w:rPr>
          <w:bCs/>
          <w:iCs/>
        </w:rPr>
        <w:tab/>
        <w:t>Sdělení k určení vlastnického práva prampouchů</w:t>
      </w:r>
    </w:p>
    <w:p w:rsidR="0023185A" w:rsidRPr="0023185A" w:rsidRDefault="0023185A" w:rsidP="0023185A">
      <w:pPr>
        <w:jc w:val="both"/>
        <w:rPr>
          <w:bCs/>
          <w:iCs/>
          <w:color w:val="1F497D"/>
        </w:rPr>
      </w:pPr>
    </w:p>
    <w:p w:rsidR="0023185A" w:rsidRDefault="0023185A" w:rsidP="0023185A">
      <w:pPr>
        <w:ind w:firstLine="709"/>
        <w:jc w:val="both"/>
      </w:pPr>
      <w:r w:rsidRPr="00F148D6">
        <w:t>Dne 28.</w:t>
      </w:r>
      <w:r>
        <w:t xml:space="preserve"> </w:t>
      </w:r>
      <w:r w:rsidRPr="00F148D6">
        <w:t>7.</w:t>
      </w:r>
      <w:r>
        <w:t xml:space="preserve"> 2014 js</w:t>
      </w:r>
      <w:r w:rsidRPr="00F148D6">
        <w:t>m</w:t>
      </w:r>
      <w:r>
        <w:t>e</w:t>
      </w:r>
      <w:r w:rsidRPr="00F148D6">
        <w:t xml:space="preserve"> obdrželi dotaz ohledně nejasného vlastnického práva jednoho prampouchu a části </w:t>
      </w:r>
      <w:r>
        <w:t>pod</w:t>
      </w:r>
      <w:r w:rsidRPr="00F148D6">
        <w:t>loubí, které se nach</w:t>
      </w:r>
      <w:r w:rsidR="00C95E09">
        <w:t>á</w:t>
      </w:r>
      <w:r>
        <w:t>zejí</w:t>
      </w:r>
      <w:r w:rsidRPr="00F148D6">
        <w:t xml:space="preserve"> v ulici </w:t>
      </w:r>
      <w:r w:rsidR="004E0E52">
        <w:t>P</w:t>
      </w:r>
      <w:r w:rsidRPr="00F148D6">
        <w:t xml:space="preserve"> mezi objekty čp. 1 a čp</w:t>
      </w:r>
      <w:r>
        <w:t>.</w:t>
      </w:r>
      <w:r w:rsidRPr="00F148D6">
        <w:t xml:space="preserve"> </w:t>
      </w:r>
      <w:r w:rsidR="004E0E52">
        <w:t>2</w:t>
      </w:r>
      <w:r w:rsidRPr="00F148D6">
        <w:t xml:space="preserve"> nad pozemkem </w:t>
      </w:r>
      <w:proofErr w:type="spellStart"/>
      <w:r w:rsidRPr="00F148D6">
        <w:t>parc</w:t>
      </w:r>
      <w:proofErr w:type="spellEnd"/>
      <w:r w:rsidRPr="00F148D6">
        <w:t xml:space="preserve">. č. </w:t>
      </w:r>
      <w:r w:rsidR="004E0E52">
        <w:t>123</w:t>
      </w:r>
      <w:r w:rsidRPr="00F148D6">
        <w:t>/</w:t>
      </w:r>
      <w:r w:rsidR="004E0E52">
        <w:t>4</w:t>
      </w:r>
      <w:r w:rsidRPr="00F148D6">
        <w:t xml:space="preserve"> v</w:t>
      </w:r>
      <w:r>
        <w:t> </w:t>
      </w:r>
      <w:r w:rsidRPr="00F148D6">
        <w:t>k</w:t>
      </w:r>
      <w:r>
        <w:t xml:space="preserve">. </w:t>
      </w:r>
      <w:proofErr w:type="spellStart"/>
      <w:r>
        <w:t>ú.</w:t>
      </w:r>
      <w:proofErr w:type="spellEnd"/>
      <w:r>
        <w:t xml:space="preserve"> </w:t>
      </w:r>
      <w:r w:rsidR="004E0E52">
        <w:t>H</w:t>
      </w:r>
      <w:r w:rsidRPr="00F148D6">
        <w:t xml:space="preserve">. Dále </w:t>
      </w:r>
      <w:r>
        <w:t>je v dotazu uvedeno</w:t>
      </w:r>
      <w:r w:rsidRPr="00F148D6">
        <w:t xml:space="preserve">, že vzhledem k tomu, že jsou tyto části staveb ve špatném stavebním stavu a je nutná jejich oprava, je důležité zjistit vlastníka těchto částí staveb. </w:t>
      </w:r>
    </w:p>
    <w:p w:rsidR="0023185A" w:rsidRPr="00F148D6" w:rsidRDefault="0023185A" w:rsidP="0023185A">
      <w:pPr>
        <w:ind w:firstLine="709"/>
        <w:jc w:val="both"/>
      </w:pPr>
    </w:p>
    <w:p w:rsidR="0023185A" w:rsidRPr="006439EB" w:rsidRDefault="0023185A" w:rsidP="0023185A">
      <w:pPr>
        <w:ind w:firstLine="709"/>
        <w:jc w:val="both"/>
      </w:pPr>
      <w:r w:rsidRPr="006439EB">
        <w:t>Úvodem je třeba zdůraznit, že Památkové inspekci nepřísluší závazně vykládat obsah obecně závazných právních předpisů, to může učinit pouze v konkrétním případě příslušný soud, a z této pozice je třeba přijímat níže prezentované názory, které byly před odesláním podrobeny diskuzi na Ministerstv</w:t>
      </w:r>
      <w:r>
        <w:t>a</w:t>
      </w:r>
      <w:r w:rsidRPr="006439EB">
        <w:t xml:space="preserve"> kultury</w:t>
      </w:r>
      <w:r>
        <w:t>,</w:t>
      </w:r>
      <w:r w:rsidRPr="006439EB">
        <w:t xml:space="preserve"> a které tak nepředstavují pouze závěry Památkové inspekce.</w:t>
      </w:r>
    </w:p>
    <w:p w:rsidR="0023185A" w:rsidRPr="006439EB" w:rsidRDefault="0023185A" w:rsidP="0023185A">
      <w:pPr>
        <w:jc w:val="both"/>
        <w:rPr>
          <w:b/>
          <w:bCs/>
          <w:i/>
          <w:iCs/>
          <w:color w:val="1F497D"/>
        </w:rPr>
      </w:pPr>
    </w:p>
    <w:p w:rsidR="0023185A" w:rsidRPr="00F148D6" w:rsidRDefault="0023185A" w:rsidP="0023185A">
      <w:pPr>
        <w:ind w:firstLine="709"/>
        <w:jc w:val="both"/>
        <w:rPr>
          <w:rFonts w:cstheme="minorBidi"/>
          <w:szCs w:val="22"/>
        </w:rPr>
      </w:pPr>
      <w:r w:rsidRPr="006439EB">
        <w:t>Prampouch je</w:t>
      </w:r>
      <w:r w:rsidRPr="00F148D6">
        <w:rPr>
          <w:rFonts w:eastAsiaTheme="majorEastAsia" w:cstheme="minorBidi"/>
          <w:szCs w:val="22"/>
        </w:rPr>
        <w:t> </w:t>
      </w:r>
      <w:hyperlink r:id="rId6" w:tooltip="Architektura" w:history="1">
        <w:r w:rsidRPr="00F148D6">
          <w:rPr>
            <w:rFonts w:eastAsiaTheme="majorEastAsia" w:cstheme="minorBidi"/>
            <w:szCs w:val="22"/>
          </w:rPr>
          <w:t>architektonický</w:t>
        </w:r>
      </w:hyperlink>
      <w:r w:rsidRPr="00F148D6">
        <w:rPr>
          <w:rFonts w:eastAsiaTheme="majorEastAsia" w:cstheme="minorBidi"/>
          <w:szCs w:val="22"/>
        </w:rPr>
        <w:t> </w:t>
      </w:r>
      <w:r w:rsidRPr="00F148D6">
        <w:rPr>
          <w:rFonts w:cstheme="minorBidi"/>
          <w:szCs w:val="22"/>
        </w:rPr>
        <w:t xml:space="preserve">prvek. </w:t>
      </w:r>
      <w:r w:rsidRPr="00F148D6">
        <w:t>Jedná se o z</w:t>
      </w:r>
      <w:r w:rsidRPr="00F148D6">
        <w:rPr>
          <w:rFonts w:cstheme="minorBidi"/>
          <w:szCs w:val="22"/>
        </w:rPr>
        <w:t>děnou konstrukci obvykle v podobě nízké zídky nesené obloukem různého tvaru (půlkruh, segment, ovál) a opatřené stříškou (nejčastěji sedlovou).</w:t>
      </w:r>
      <w:r w:rsidRPr="00F148D6">
        <w:t xml:space="preserve"> </w:t>
      </w:r>
      <w:r w:rsidRPr="00F148D6">
        <w:rPr>
          <w:rFonts w:cstheme="minorBidi"/>
          <w:szCs w:val="22"/>
        </w:rPr>
        <w:t>Prampouchy se většinou vyskytují v jedné řadě, výjimečně i ve více řadách nad sebou. Situovány jsou obvykle mezi horními částmi dvou těsně sousedících staveb a slouží k jejich stabilizaci. Prampouchy jsou proto zpravidla dodatečným opatřením směřujícím k zamezení statických poruch jedné či obou sousedících staveb</w:t>
      </w:r>
      <w:r>
        <w:rPr>
          <w:rFonts w:cstheme="minorBidi"/>
          <w:szCs w:val="22"/>
        </w:rPr>
        <w:t>.</w:t>
      </w:r>
    </w:p>
    <w:p w:rsidR="0023185A" w:rsidRPr="00F148D6" w:rsidRDefault="0023185A" w:rsidP="0023185A">
      <w:pPr>
        <w:ind w:firstLine="709"/>
        <w:jc w:val="both"/>
      </w:pPr>
      <w:r w:rsidRPr="00904F91">
        <w:t xml:space="preserve"> </w:t>
      </w:r>
    </w:p>
    <w:p w:rsidR="0023185A" w:rsidRPr="00F148D6" w:rsidRDefault="0023185A" w:rsidP="0023185A">
      <w:pPr>
        <w:ind w:firstLine="709"/>
        <w:jc w:val="both"/>
      </w:pPr>
      <w:r w:rsidRPr="00F148D6">
        <w:t>S účinností od 1.</w:t>
      </w:r>
      <w:r>
        <w:t xml:space="preserve"> </w:t>
      </w:r>
      <w:r w:rsidRPr="00F148D6">
        <w:t>1.</w:t>
      </w:r>
      <w:r>
        <w:t xml:space="preserve"> </w:t>
      </w:r>
      <w:r w:rsidRPr="00F148D6">
        <w:t>2014 začal platit zákon č. 89/2012 Sb., občanský zákoník (dále jen „nový občanský zákoník“). Jako zcela nový právní pojem upravuje nový občanský zákoník v § 1024 pojem rozhrada. Podle tohoto ustanovení se má za to, že přirozené nebo umělé rozhrady jsou společné. Rozhrady pak zmíněné ustanovení nedefinuje, uvádí příklady některých rozhrad, jako jsou společné zdi. V tomto případě má i prampouch, který s ohledem na výše uvedené slouží jako vzájemná opora dvou staveb</w:t>
      </w:r>
      <w:r>
        <w:t>,</w:t>
      </w:r>
      <w:r w:rsidRPr="00F148D6">
        <w:t xml:space="preserve"> charakter rozhrady. Pokud z právního vztahu mezi vlastníky staveb, které propojuje prampouch, nevyplývá výslovná úprava majetkového vztahu k prampouchu ve prospěch vlastníka jedné nebo druhé stavby, má se za to, že prampouch jako rozhrada je společným vlastnictvím obou vlastníků staveb. Podle ustanovení § 1026 je vlastník povinen udržovat rozhradu v dobrém stavu. Zde lze tedy hovořit o solidární odpovědnosti vlastníků staveb, jimž jako opora dotčený prampouch slouží, aby společně pečovali o jeho dobrý stav. Současně s ohledem na velmi specifický charakter prampouchu, který slouží dvěma stavbám, nemá vlastnictví cesty (</w:t>
      </w:r>
      <w:r>
        <w:t>komunikace) bezprostřední vztah</w:t>
      </w:r>
      <w:r w:rsidRPr="00F148D6">
        <w:t xml:space="preserve"> k povinnostem vlastníků vzájemně se opírajících staveb, pokud vlastník komunikace není vlastníkem ani jedné ze staveb, jimž prampouch jako společná opora slouží.</w:t>
      </w:r>
    </w:p>
    <w:p w:rsidR="0023185A" w:rsidRPr="00F148D6" w:rsidRDefault="0023185A" w:rsidP="0023185A">
      <w:pPr>
        <w:ind w:firstLine="709"/>
        <w:jc w:val="both"/>
      </w:pPr>
    </w:p>
    <w:p w:rsidR="0023185A" w:rsidRPr="00F148D6" w:rsidRDefault="0023185A" w:rsidP="0023185A">
      <w:pPr>
        <w:ind w:firstLine="709"/>
        <w:jc w:val="both"/>
      </w:pPr>
      <w:r w:rsidRPr="00F148D6">
        <w:lastRenderedPageBreak/>
        <w:t xml:space="preserve">Důvodová zpráva k ustanovení § 1026 nového občanského zákoníku pak rovněž konstatuje, že ustanovení § 1026 řeší jak postupovat v případě poškozených či rozpadlých rozhrad. Jedním z těchto pravidel je, že vlastník není povinen rozpadlou zeď postavit nebo obnovit jinou rozhradu, avšak je povinen ji udržovat v dobrém stavu, pokud hrozí sousedovi škoda. Toto ustanovení však </w:t>
      </w:r>
      <w:r>
        <w:t xml:space="preserve">podle důvodové zprávy </w:t>
      </w:r>
      <w:r w:rsidRPr="00F148D6">
        <w:t>nezasahuje do veřejnoprávních povinností, které stanoví zvláštní právní předpisy. Jedná se například o povinnosti vlastníků objektů, které jsou stanoveny právními předpisy na úseku státní památkové péče. Jinými slovy, pokud důvodová zpráva ke zmíněnému ustanovení zdůrazňuje povinnost vlastníka k obnovení rozhrady, je-li to v zájmu památkové péče, tím méně mohou být pochybnosti o tom, zda má takový vlastník povinnost rozhradu v dobrém stavu udržovat.</w:t>
      </w:r>
    </w:p>
    <w:p w:rsidR="0023185A" w:rsidRPr="00F148D6" w:rsidRDefault="0023185A" w:rsidP="0023185A">
      <w:pPr>
        <w:ind w:firstLine="709"/>
        <w:jc w:val="both"/>
      </w:pPr>
    </w:p>
    <w:p w:rsidR="0023185A" w:rsidRPr="00F148D6" w:rsidRDefault="0023185A" w:rsidP="0023185A">
      <w:pPr>
        <w:ind w:firstLine="709"/>
        <w:jc w:val="both"/>
      </w:pPr>
      <w:r w:rsidRPr="00F148D6">
        <w:t>Na závěr si Vás dovoluji upozornit na skutečnost, že i problematiky prampouchů se dotkl článek autorů Tupý, Michal; Zídek, Martin: Nový občanský zákoník a památková péče, in: Zprávy památkové péče, ročník LXXIII/2013, č. 6, str. 555–557, kde můžete nalézt další oporu pro aplikaci zmíněného ustanovení nového občanského zákoníku.</w:t>
      </w:r>
    </w:p>
    <w:p w:rsidR="0023185A" w:rsidRDefault="0023185A" w:rsidP="0023185A">
      <w:pPr>
        <w:ind w:left="360"/>
        <w:jc w:val="both"/>
      </w:pPr>
    </w:p>
    <w:p w:rsidR="0023185A" w:rsidRDefault="0023185A" w:rsidP="0023185A">
      <w:pPr>
        <w:ind w:left="360"/>
        <w:jc w:val="both"/>
      </w:pPr>
    </w:p>
    <w:p w:rsidR="0023185A" w:rsidRDefault="0023185A" w:rsidP="0023185A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271D49">
        <w:rPr>
          <w:sz w:val="16"/>
          <w:szCs w:val="16"/>
        </w:rPr>
        <w:t>23</w:t>
      </w:r>
      <w:bookmarkStart w:id="0" w:name="_GoBack"/>
      <w:bookmarkEnd w:id="0"/>
      <w:r w:rsidR="00C93A23">
        <w:rPr>
          <w:sz w:val="16"/>
          <w:szCs w:val="16"/>
        </w:rPr>
        <w:t xml:space="preserve">. </w:t>
      </w:r>
      <w:r w:rsidR="00AC6ED7">
        <w:rPr>
          <w:sz w:val="16"/>
          <w:szCs w:val="16"/>
        </w:rPr>
        <w:t>ú</w:t>
      </w:r>
      <w:r w:rsidR="00C93A23">
        <w:rPr>
          <w:sz w:val="16"/>
          <w:szCs w:val="16"/>
        </w:rPr>
        <w:t>nora 202</w:t>
      </w:r>
      <w:r w:rsidR="00271D49">
        <w:rPr>
          <w:sz w:val="16"/>
          <w:szCs w:val="16"/>
        </w:rPr>
        <w:t>3</w:t>
      </w:r>
    </w:p>
    <w:sectPr w:rsidR="002318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BF" w:rsidRDefault="00CA7CBF" w:rsidP="00222A12">
      <w:r>
        <w:separator/>
      </w:r>
    </w:p>
  </w:endnote>
  <w:endnote w:type="continuationSeparator" w:id="0">
    <w:p w:rsidR="00CA7CBF" w:rsidRDefault="00CA7CBF" w:rsidP="002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455233"/>
      <w:docPartObj>
        <w:docPartGallery w:val="Page Numbers (Bottom of Page)"/>
        <w:docPartUnique/>
      </w:docPartObj>
    </w:sdtPr>
    <w:sdtEndPr/>
    <w:sdtContent>
      <w:p w:rsidR="00222A12" w:rsidRDefault="00222A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38">
          <w:rPr>
            <w:noProof/>
          </w:rPr>
          <w:t>2</w:t>
        </w:r>
        <w:r>
          <w:fldChar w:fldCharType="end"/>
        </w:r>
      </w:p>
    </w:sdtContent>
  </w:sdt>
  <w:p w:rsidR="00222A12" w:rsidRDefault="00222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BF" w:rsidRDefault="00CA7CBF" w:rsidP="00222A12">
      <w:r>
        <w:separator/>
      </w:r>
    </w:p>
  </w:footnote>
  <w:footnote w:type="continuationSeparator" w:id="0">
    <w:p w:rsidR="00CA7CBF" w:rsidRDefault="00CA7CBF" w:rsidP="0022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5A"/>
    <w:rsid w:val="00222A12"/>
    <w:rsid w:val="0023185A"/>
    <w:rsid w:val="00271D49"/>
    <w:rsid w:val="002B64DB"/>
    <w:rsid w:val="00420A51"/>
    <w:rsid w:val="004E0E52"/>
    <w:rsid w:val="0052018D"/>
    <w:rsid w:val="0058788E"/>
    <w:rsid w:val="00655EAE"/>
    <w:rsid w:val="007B0669"/>
    <w:rsid w:val="00A14838"/>
    <w:rsid w:val="00AC6ED7"/>
    <w:rsid w:val="00B34ED4"/>
    <w:rsid w:val="00B65551"/>
    <w:rsid w:val="00C93A23"/>
    <w:rsid w:val="00C95E09"/>
    <w:rsid w:val="00CA7CBF"/>
    <w:rsid w:val="00D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7D36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2A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2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A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Architektu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Zídek Martin</dc:creator>
  <cp:lastModifiedBy>Mašková Pavla</cp:lastModifiedBy>
  <cp:revision>4</cp:revision>
  <dcterms:created xsi:type="dcterms:W3CDTF">2022-02-10T09:25:00Z</dcterms:created>
  <dcterms:modified xsi:type="dcterms:W3CDTF">2023-02-23T14:40:00Z</dcterms:modified>
</cp:coreProperties>
</file>